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4AA" w:rsidRPr="00EE54AA" w:rsidRDefault="00EE54AA" w:rsidP="00EE54AA">
      <w:pPr>
        <w:pStyle w:val="Sarakstarindkopa"/>
        <w:tabs>
          <w:tab w:val="left" w:pos="3119"/>
        </w:tabs>
        <w:spacing w:after="0" w:line="240" w:lineRule="auto"/>
        <w:ind w:firstLine="284"/>
        <w:jc w:val="right"/>
        <w:rPr>
          <w:rFonts w:ascii="Times New Roman" w:hAnsi="Times New Roman" w:cs="Times New Roman"/>
          <w:b/>
        </w:rPr>
      </w:pPr>
      <w:r w:rsidRPr="00EE54AA">
        <w:rPr>
          <w:rFonts w:ascii="Times New Roman" w:hAnsi="Times New Roman" w:cs="Times New Roman"/>
          <w:b/>
        </w:rPr>
        <w:t>2</w:t>
      </w:r>
      <w:r w:rsidRPr="00EE54AA">
        <w:rPr>
          <w:rFonts w:ascii="Times New Roman" w:hAnsi="Times New Roman" w:cs="Times New Roman"/>
          <w:b/>
        </w:rPr>
        <w:t>.pielikums</w:t>
      </w:r>
    </w:p>
    <w:p w:rsidR="00EE54AA" w:rsidRPr="00EE54AA" w:rsidRDefault="00EE54AA" w:rsidP="00EE54AA">
      <w:pPr>
        <w:pStyle w:val="Sarakstarindkopa"/>
        <w:tabs>
          <w:tab w:val="left" w:pos="3119"/>
        </w:tabs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  <w:r w:rsidRPr="00EE54AA">
        <w:rPr>
          <w:rFonts w:ascii="Times New Roman" w:hAnsi="Times New Roman" w:cs="Times New Roman"/>
        </w:rPr>
        <w:t>Cenu aptaujai “</w:t>
      </w:r>
      <w:proofErr w:type="spellStart"/>
      <w:r w:rsidRPr="00EE54AA">
        <w:rPr>
          <w:rFonts w:ascii="Times New Roman" w:hAnsi="Times New Roman" w:cs="Times New Roman"/>
        </w:rPr>
        <w:t>Peldētapmācības</w:t>
      </w:r>
      <w:proofErr w:type="spellEnd"/>
      <w:r w:rsidRPr="00EE54AA">
        <w:rPr>
          <w:rFonts w:ascii="Times New Roman" w:hAnsi="Times New Roman" w:cs="Times New Roman"/>
        </w:rPr>
        <w:t xml:space="preserve"> nodarbības bērniem – 80 nodarbības” projekta Nr. 9.2.4.2/16/I/030 “Vietējās sabiedrības veselības veicināšanas un slimību profilakses pasākumi Talsu novadā” ietvaros”, </w:t>
      </w:r>
    </w:p>
    <w:p w:rsidR="00AB3DBB" w:rsidRPr="00EE54AA" w:rsidRDefault="00EE54AA" w:rsidP="00EE54AA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</w:rPr>
      </w:pPr>
      <w:r w:rsidRPr="00EE54AA">
        <w:rPr>
          <w:rFonts w:ascii="Times New Roman" w:hAnsi="Times New Roman" w:cs="Times New Roman"/>
        </w:rPr>
        <w:t xml:space="preserve">ID Nr. </w:t>
      </w:r>
      <w:proofErr w:type="spellStart"/>
      <w:r w:rsidRPr="00EE54AA">
        <w:rPr>
          <w:rFonts w:ascii="Times New Roman" w:hAnsi="Times New Roman" w:cs="Times New Roman"/>
        </w:rPr>
        <w:t>TNPz</w:t>
      </w:r>
      <w:proofErr w:type="spellEnd"/>
      <w:r w:rsidRPr="00EE54AA">
        <w:rPr>
          <w:rFonts w:ascii="Times New Roman" w:hAnsi="Times New Roman" w:cs="Times New Roman"/>
        </w:rPr>
        <w:t xml:space="preserve"> 2021/66</w:t>
      </w:r>
    </w:p>
    <w:p w:rsidR="00A25BE8" w:rsidRPr="00EE54AA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4AA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Pr="00EE54AA" w:rsidRDefault="00501C2A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EE54AA" w:rsidRDefault="00AA5073" w:rsidP="00501C2A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E54A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EE54A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EE54A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EE54A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EE54AA">
        <w:rPr>
          <w:rFonts w:ascii="Times New Roman" w:hAnsi="Times New Roman" w:cs="Times New Roman"/>
          <w:b/>
          <w:color w:val="FF0000"/>
        </w:rPr>
        <w:t xml:space="preserve"> </w:t>
      </w:r>
    </w:p>
    <w:p w:rsidR="00246290" w:rsidRPr="00EE54AA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52B" w:rsidRPr="00EE54AA" w:rsidRDefault="00E47191" w:rsidP="005D5C37">
      <w:pPr>
        <w:pStyle w:val="Sarakstarindkopa"/>
        <w:tabs>
          <w:tab w:val="left" w:pos="311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AA">
        <w:rPr>
          <w:rFonts w:ascii="Times New Roman" w:hAnsi="Times New Roman" w:cs="Times New Roman"/>
          <w:b/>
          <w:sz w:val="24"/>
          <w:szCs w:val="24"/>
        </w:rPr>
        <w:t>Nodarbība:</w:t>
      </w:r>
    </w:p>
    <w:p w:rsidR="007F32B4" w:rsidRPr="00EE54AA" w:rsidRDefault="007F32B4" w:rsidP="005D5C37">
      <w:pPr>
        <w:tabs>
          <w:tab w:val="left" w:pos="31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4C4F7A" w:rsidRPr="00EE54A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</w:t>
      </w:r>
      <w:r w:rsidR="009E19D8" w:rsidRPr="00EE54A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lātienes </w:t>
      </w:r>
      <w:r w:rsidRPr="00EE54A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nodarbība</w:t>
      </w:r>
      <w:r w:rsidR="00EE54A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</w:t>
      </w:r>
      <w:proofErr w:type="spellStart"/>
      <w:r w:rsidR="004C4F7A" w:rsidRPr="00EE54A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Peldētapmācība</w:t>
      </w:r>
      <w:proofErr w:type="spellEnd"/>
    </w:p>
    <w:p w:rsidR="00B16CCC" w:rsidRPr="00EE54AA" w:rsidRDefault="006C45B1" w:rsidP="00930B8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4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6CCC" w:rsidRPr="00EE54AA">
        <w:rPr>
          <w:rFonts w:ascii="Times New Roman" w:hAnsi="Times New Roman" w:cs="Times New Roman"/>
          <w:b/>
          <w:sz w:val="24"/>
          <w:szCs w:val="24"/>
        </w:rPr>
        <w:t>Peldētapmācības</w:t>
      </w:r>
      <w:proofErr w:type="spellEnd"/>
      <w:r w:rsidR="00772F28" w:rsidRPr="00EE54AA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EE54AA">
        <w:rPr>
          <w:rFonts w:ascii="Times New Roman" w:hAnsi="Times New Roman" w:cs="Times New Roman"/>
          <w:b/>
          <w:sz w:val="24"/>
          <w:szCs w:val="24"/>
        </w:rPr>
        <w:t>odarbībā</w:t>
      </w:r>
      <w:r w:rsidR="00EE54AA">
        <w:rPr>
          <w:rFonts w:ascii="Times New Roman" w:hAnsi="Times New Roman" w:cs="Times New Roman"/>
          <w:sz w:val="24"/>
          <w:szCs w:val="24"/>
        </w:rPr>
        <w:t xml:space="preserve"> – </w:t>
      </w:r>
      <w:r w:rsidR="00B16CCC" w:rsidRPr="00EE54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Bērns pieradīs pie ūdens un iemācīsies peldēt, pilnīgāk izjūtot ūdens pozitīvo ietekmi  uz bērna organismu. </w:t>
      </w:r>
      <w:proofErr w:type="spellStart"/>
      <w:r w:rsidR="00B16CCC" w:rsidRPr="00EE54AA">
        <w:rPr>
          <w:rFonts w:ascii="Times New Roman" w:hAnsi="Times New Roman" w:cs="Times New Roman"/>
          <w:sz w:val="24"/>
          <w:szCs w:val="24"/>
          <w:shd w:val="clear" w:color="auto" w:fill="FFFFFF"/>
        </w:rPr>
        <w:t>Peldētprasme</w:t>
      </w:r>
      <w:proofErr w:type="spellEnd"/>
      <w:r w:rsidR="00B16CCC" w:rsidRPr="00EE54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tikai uzlabos bērna fizisko un psiholoģisko stāvokli, bet arī vispusīgi attīstīs un norūdīs, kas ļaus sekmīgi pretoties dažādām saaukstēšanās slimībām.</w:t>
      </w:r>
      <w:r w:rsidR="0026127E" w:rsidRPr="00EE54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Nodarbības ir interesantas, vispusīgas un tendētas uz balsta kustību aparāta attīstību, muskuļu </w:t>
      </w:r>
      <w:proofErr w:type="spellStart"/>
      <w:r w:rsidR="0026127E" w:rsidRPr="00EE54AA">
        <w:rPr>
          <w:rFonts w:ascii="Times New Roman" w:hAnsi="Times New Roman" w:cs="Times New Roman"/>
          <w:sz w:val="24"/>
          <w:szCs w:val="24"/>
          <w:shd w:val="clear" w:color="auto" w:fill="FFFFFF"/>
        </w:rPr>
        <w:t>pamatgrupu</w:t>
      </w:r>
      <w:proofErr w:type="spellEnd"/>
      <w:r w:rsidR="0026127E" w:rsidRPr="00EE54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attīstīšanu, stājas korekciju, svara un plakanās pēdas kontroli.</w:t>
      </w:r>
    </w:p>
    <w:p w:rsidR="00B16CCC" w:rsidRPr="00EE54AA" w:rsidRDefault="00B16CCC" w:rsidP="00930B8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4AA">
        <w:rPr>
          <w:rFonts w:ascii="Times New Roman" w:hAnsi="Times New Roman" w:cs="Times New Roman"/>
          <w:sz w:val="24"/>
          <w:szCs w:val="24"/>
          <w:shd w:val="clear" w:color="auto" w:fill="FFFFFF"/>
        </w:rPr>
        <w:t>Nodarbību laikā:</w:t>
      </w:r>
    </w:p>
    <w:p w:rsidR="00B16CCC" w:rsidRPr="00EE54AA" w:rsidRDefault="00B16CCC" w:rsidP="00930B80">
      <w:pPr>
        <w:pStyle w:val="Sarakstarindkop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4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bērns iemācās brīvi un pareizi turēties uz ūdens, pastiprinātu uzmanību pievēršot pareizai, ritmiskai elpošanai un ķermeņa stāvoklim. </w:t>
      </w:r>
    </w:p>
    <w:p w:rsidR="00B16CCC" w:rsidRPr="00EE54AA" w:rsidRDefault="00B16CCC" w:rsidP="00930B80">
      <w:pPr>
        <w:pStyle w:val="Sarakstarindkop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4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Iemācās visus peldēšanas stilus, kas nākotnē palīdz izvairīties no nelaimes gadījumiem uz ūdens. </w:t>
      </w:r>
    </w:p>
    <w:p w:rsidR="00422FAD" w:rsidRPr="00EE54AA" w:rsidRDefault="00B16CCC" w:rsidP="00930B80">
      <w:pPr>
        <w:jc w:val="both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  <w:shd w:val="clear" w:color="auto" w:fill="FFFFFF"/>
        </w:rPr>
        <w:t>Individuāla pieeja katram, ņemot vērā vecumu un fizisko sagatavotību.</w:t>
      </w:r>
    </w:p>
    <w:p w:rsidR="00604D6B" w:rsidRPr="00EE54AA" w:rsidRDefault="00604D6B" w:rsidP="00604D6B">
      <w:pPr>
        <w:jc w:val="both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>Pakalpojuma</w:t>
      </w:r>
      <w:r w:rsidR="00D95AAD" w:rsidRPr="00EE54AA">
        <w:rPr>
          <w:rFonts w:ascii="Times New Roman" w:hAnsi="Times New Roman" w:cs="Times New Roman"/>
          <w:sz w:val="24"/>
          <w:szCs w:val="24"/>
        </w:rPr>
        <w:t xml:space="preserve"> sniedzējs var piedāvāt papildu</w:t>
      </w:r>
      <w:r w:rsidR="005159D9" w:rsidRPr="00EE54AA">
        <w:rPr>
          <w:rFonts w:ascii="Times New Roman" w:hAnsi="Times New Roman" w:cs="Times New Roman"/>
          <w:sz w:val="24"/>
          <w:szCs w:val="24"/>
        </w:rPr>
        <w:t xml:space="preserve"> </w:t>
      </w:r>
      <w:r w:rsidR="006539D8" w:rsidRPr="00EE54AA">
        <w:rPr>
          <w:rFonts w:ascii="Times New Roman" w:hAnsi="Times New Roman" w:cs="Times New Roman"/>
          <w:sz w:val="24"/>
          <w:szCs w:val="24"/>
        </w:rPr>
        <w:t>aktivitātes, kuras</w:t>
      </w:r>
      <w:r w:rsidR="000D49DC" w:rsidRPr="00EE54AA">
        <w:rPr>
          <w:rFonts w:ascii="Times New Roman" w:hAnsi="Times New Roman" w:cs="Times New Roman"/>
          <w:sz w:val="24"/>
          <w:szCs w:val="24"/>
        </w:rPr>
        <w:t xml:space="preserve"> būtu </w:t>
      </w:r>
      <w:r w:rsidR="006539D8" w:rsidRPr="00EE54AA">
        <w:rPr>
          <w:rFonts w:ascii="Times New Roman" w:hAnsi="Times New Roman" w:cs="Times New Roman"/>
          <w:sz w:val="24"/>
          <w:szCs w:val="24"/>
        </w:rPr>
        <w:t>ieteicamas</w:t>
      </w:r>
      <w:r w:rsidR="005159D9" w:rsidRPr="00EE5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9D8" w:rsidRPr="00EE54AA">
        <w:rPr>
          <w:rFonts w:ascii="Times New Roman" w:hAnsi="Times New Roman" w:cs="Times New Roman"/>
          <w:sz w:val="24"/>
          <w:szCs w:val="24"/>
        </w:rPr>
        <w:t>peldētprasmes</w:t>
      </w:r>
      <w:proofErr w:type="spellEnd"/>
      <w:r w:rsidR="006539D8" w:rsidRPr="00EE54AA">
        <w:rPr>
          <w:rFonts w:ascii="Times New Roman" w:hAnsi="Times New Roman" w:cs="Times New Roman"/>
          <w:sz w:val="24"/>
          <w:szCs w:val="24"/>
        </w:rPr>
        <w:t xml:space="preserve"> apgūšanā.</w:t>
      </w:r>
    </w:p>
    <w:p w:rsidR="00DD1B45" w:rsidRPr="00EE54AA" w:rsidRDefault="00DD1B45" w:rsidP="002824E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1531BA" w:rsidRPr="00EE54AA" w:rsidRDefault="00DD1B45" w:rsidP="00291933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 xml:space="preserve">visiem speciālistiem jābūt atbilstošai kvalifikācijai </w:t>
      </w:r>
      <w:r w:rsidR="005159D9" w:rsidRPr="00EE54AA">
        <w:rPr>
          <w:rFonts w:ascii="Times New Roman" w:hAnsi="Times New Roman" w:cs="Times New Roman"/>
          <w:sz w:val="24"/>
          <w:szCs w:val="24"/>
        </w:rPr>
        <w:t xml:space="preserve">– </w:t>
      </w:r>
      <w:r w:rsidR="00291933" w:rsidRPr="00EE54AA">
        <w:rPr>
          <w:rFonts w:ascii="Times New Roman" w:hAnsi="Times New Roman" w:cs="Times New Roman"/>
          <w:sz w:val="24"/>
          <w:szCs w:val="24"/>
        </w:rPr>
        <w:t>sertificēts treneris ar tiesībām strādāt kā peldēšanas trenerim</w:t>
      </w:r>
      <w:r w:rsidR="00930B80" w:rsidRPr="00EE54AA">
        <w:rPr>
          <w:rFonts w:ascii="Times New Roman" w:hAnsi="Times New Roman" w:cs="Times New Roman"/>
          <w:sz w:val="24"/>
          <w:szCs w:val="24"/>
        </w:rPr>
        <w:t>;</w:t>
      </w:r>
    </w:p>
    <w:p w:rsidR="00DB1762" w:rsidRPr="00EE54AA" w:rsidRDefault="00291933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 xml:space="preserve">Ir pieredze </w:t>
      </w:r>
      <w:proofErr w:type="spellStart"/>
      <w:r w:rsidRPr="00EE54AA">
        <w:rPr>
          <w:rFonts w:ascii="Times New Roman" w:hAnsi="Times New Roman" w:cs="Times New Roman"/>
          <w:sz w:val="24"/>
          <w:szCs w:val="24"/>
        </w:rPr>
        <w:t>peldētapmācības</w:t>
      </w:r>
      <w:proofErr w:type="spellEnd"/>
      <w:r w:rsidR="00772F28" w:rsidRPr="00EE54AA">
        <w:rPr>
          <w:rFonts w:ascii="Times New Roman" w:hAnsi="Times New Roman" w:cs="Times New Roman"/>
          <w:sz w:val="24"/>
          <w:szCs w:val="24"/>
        </w:rPr>
        <w:t xml:space="preserve"> </w:t>
      </w:r>
      <w:r w:rsidR="00DB1762" w:rsidRPr="00EE54AA">
        <w:rPr>
          <w:rFonts w:ascii="Times New Roman" w:hAnsi="Times New Roman" w:cs="Times New Roman"/>
          <w:sz w:val="24"/>
          <w:szCs w:val="24"/>
        </w:rPr>
        <w:t>nodarb</w:t>
      </w:r>
      <w:r w:rsidR="00772F28" w:rsidRPr="00EE54AA">
        <w:rPr>
          <w:rFonts w:ascii="Times New Roman" w:hAnsi="Times New Roman" w:cs="Times New Roman"/>
          <w:sz w:val="24"/>
          <w:szCs w:val="24"/>
        </w:rPr>
        <w:t>ību vadīšanā</w:t>
      </w:r>
      <w:r w:rsidR="006E3605" w:rsidRPr="00EE54AA">
        <w:rPr>
          <w:rFonts w:ascii="Times New Roman" w:hAnsi="Times New Roman" w:cs="Times New Roman"/>
          <w:sz w:val="24"/>
          <w:szCs w:val="24"/>
        </w:rPr>
        <w:t xml:space="preserve"> </w:t>
      </w:r>
      <w:r w:rsidR="00DB1762" w:rsidRPr="00EE54AA">
        <w:rPr>
          <w:rFonts w:ascii="Times New Roman" w:hAnsi="Times New Roman" w:cs="Times New Roman"/>
          <w:sz w:val="24"/>
          <w:szCs w:val="24"/>
        </w:rPr>
        <w:t>– jānorāda kontaktinformācija atsauksmēm.</w:t>
      </w:r>
    </w:p>
    <w:p w:rsidR="004550FE" w:rsidRPr="00EE54AA" w:rsidRDefault="004550FE" w:rsidP="004550FE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>Pakalpojuma sniedzējs nodrošina, ka nodarbībās tiek ievērotas drošības prasības.</w:t>
      </w:r>
    </w:p>
    <w:p w:rsidR="004550FE" w:rsidRPr="00EE54AA" w:rsidRDefault="004550FE" w:rsidP="004550FE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EE54AA">
        <w:rPr>
          <w:rFonts w:ascii="Times New Roman" w:hAnsi="Times New Roman" w:cs="Times New Roman"/>
          <w:sz w:val="24"/>
          <w:szCs w:val="24"/>
        </w:rPr>
        <w:t>zējot nodarbību norises laikus</w:t>
      </w:r>
      <w:r w:rsidR="00930B80" w:rsidRPr="00EE54AA">
        <w:rPr>
          <w:rFonts w:ascii="Times New Roman" w:hAnsi="Times New Roman" w:cs="Times New Roman"/>
          <w:sz w:val="24"/>
          <w:szCs w:val="24"/>
        </w:rPr>
        <w:t>.</w:t>
      </w:r>
    </w:p>
    <w:p w:rsidR="004550FE" w:rsidRPr="00EE54AA" w:rsidRDefault="004550FE" w:rsidP="004550FE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>Pakalpojuma sniedzējs nodrošina nodarbību dalībnieku reģistrēšanu Pasūtītāja sagatavotā reģistrācijas lapā.</w:t>
      </w:r>
    </w:p>
    <w:p w:rsidR="00DD1B45" w:rsidRPr="00EE54AA" w:rsidRDefault="004550FE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EE54AA">
        <w:rPr>
          <w:rFonts w:ascii="Times New Roman" w:hAnsi="Times New Roman" w:cs="Times New Roman"/>
          <w:sz w:val="24"/>
          <w:szCs w:val="24"/>
        </w:rPr>
        <w:t>pildei.</w:t>
      </w:r>
    </w:p>
    <w:p w:rsidR="000578D4" w:rsidRPr="00EE54AA" w:rsidRDefault="000578D4" w:rsidP="00057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8D4" w:rsidRPr="00EE54AA" w:rsidRDefault="000578D4" w:rsidP="000578D4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>Nodarbībām nepieciešamo aprīkojumu un inventāru nodrošina Pakalpojuma sniedzējs.</w:t>
      </w:r>
    </w:p>
    <w:p w:rsidR="00C216ED" w:rsidRPr="00EE54AA" w:rsidRDefault="00C216ED" w:rsidP="00F87473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B80" w:rsidRPr="00EE54AA" w:rsidRDefault="00930B80" w:rsidP="00F87473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B80" w:rsidRPr="00EE54AA" w:rsidRDefault="00930B80" w:rsidP="00F87473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B80" w:rsidRPr="00EE54AA" w:rsidRDefault="00930B80" w:rsidP="00F87473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0B80" w:rsidRPr="00EE54AA" w:rsidRDefault="00930B80" w:rsidP="00F87473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6ED" w:rsidRPr="00EE54AA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3493"/>
      </w:tblGrid>
      <w:tr w:rsidR="00C216ED" w:rsidRPr="00EE54AA" w:rsidTr="009C05CB">
        <w:tc>
          <w:tcPr>
            <w:tcW w:w="837" w:type="dxa"/>
            <w:shd w:val="clear" w:color="auto" w:fill="D9D9D9"/>
          </w:tcPr>
          <w:p w:rsidR="00C216ED" w:rsidRPr="00EE54AA" w:rsidRDefault="00C216ED" w:rsidP="00EE54AA">
            <w:pPr>
              <w:pageBreakBefore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N.p.k</w:t>
            </w:r>
            <w:proofErr w:type="spellEnd"/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EE54AA" w:rsidRDefault="00C216ED" w:rsidP="00EE54AA">
            <w:pPr>
              <w:pageBreakBefore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E54AA" w:rsidRDefault="00C216ED" w:rsidP="00EE54AA">
            <w:pPr>
              <w:pageBreakBefore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D9D9D9"/>
          </w:tcPr>
          <w:p w:rsidR="00C216ED" w:rsidRPr="00EE54AA" w:rsidRDefault="00C216ED" w:rsidP="00EE54AA">
            <w:pPr>
              <w:pageBreakBefore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EE54AA" w:rsidRDefault="00C216ED" w:rsidP="00EE54AA">
            <w:pPr>
              <w:pStyle w:val="Pamatteksts"/>
              <w:pageBreakBefore/>
              <w:ind w:right="72"/>
              <w:jc w:val="center"/>
              <w:rPr>
                <w:b/>
                <w:bCs/>
              </w:rPr>
            </w:pPr>
            <w:r w:rsidRPr="00EE54AA">
              <w:t xml:space="preserve">(pretendents norāda – atbilst/neatbilst   vai </w:t>
            </w:r>
          </w:p>
          <w:p w:rsidR="00C216ED" w:rsidRPr="00EE54AA" w:rsidRDefault="00C216ED" w:rsidP="00EE54AA">
            <w:pPr>
              <w:pageBreakBefore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E54AA" w:rsidTr="009C05CB">
        <w:tc>
          <w:tcPr>
            <w:tcW w:w="837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C216ED" w:rsidRPr="00EE54AA" w:rsidRDefault="00C85384" w:rsidP="00042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Iepirkuma priekšmets: “</w:t>
            </w:r>
            <w:proofErr w:type="spellStart"/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Peldētapmācības</w:t>
            </w:r>
            <w:proofErr w:type="spellEnd"/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nodarbības </w:t>
            </w:r>
            <w:r w:rsidR="00FE41E5" w:rsidRPr="00EE54AA">
              <w:rPr>
                <w:rFonts w:ascii="Times New Roman" w:hAnsi="Times New Roman" w:cs="Times New Roman"/>
                <w:b/>
                <w:sz w:val="24"/>
                <w:szCs w:val="24"/>
              </w:rPr>
              <w:t>vadīšana</w:t>
            </w:r>
            <w:r w:rsidR="00042F8A" w:rsidRPr="00EE54A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FE41E5" w:rsidRPr="00EE5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88F" w:rsidRPr="00EE5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2021.</w:t>
            </w:r>
            <w:r w:rsidR="00930B80" w:rsidRPr="00EE54AA">
              <w:rPr>
                <w:rFonts w:ascii="Times New Roman" w:hAnsi="Times New Roman" w:cs="Times New Roman"/>
                <w:b/>
                <w:sz w:val="24"/>
                <w:szCs w:val="24"/>
              </w:rPr>
              <w:t>, 2022.</w:t>
            </w:r>
            <w:r w:rsidR="0030588F" w:rsidRPr="00EE54AA">
              <w:rPr>
                <w:rFonts w:ascii="Times New Roman" w:hAnsi="Times New Roman" w:cs="Times New Roman"/>
                <w:b/>
                <w:sz w:val="24"/>
                <w:szCs w:val="24"/>
              </w:rPr>
              <w:t>g. (</w:t>
            </w:r>
            <w:r w:rsidR="00930B80" w:rsidRPr="00EE54A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EE54A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0588F" w:rsidRPr="00EE54AA">
              <w:rPr>
                <w:rFonts w:ascii="Times New Roman" w:hAnsi="Times New Roman" w:cs="Times New Roman"/>
                <w:b/>
                <w:sz w:val="24"/>
                <w:szCs w:val="24"/>
              </w:rPr>
              <w:t>nodarbības)</w:t>
            </w:r>
          </w:p>
        </w:tc>
        <w:tc>
          <w:tcPr>
            <w:tcW w:w="3493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EE54AA" w:rsidTr="009C05CB">
        <w:tc>
          <w:tcPr>
            <w:tcW w:w="837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C216ED" w:rsidRPr="00EE54AA" w:rsidRDefault="000838F6" w:rsidP="00A1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7752B"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 Fiziskās aktivitātes</w:t>
            </w: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 nodarbība.</w:t>
            </w:r>
          </w:p>
          <w:p w:rsidR="0079397A" w:rsidRPr="00EE54AA" w:rsidRDefault="0079397A" w:rsidP="0079397A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E54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!!! Pasākumu  organizēšanai un norisei jāatbilst visām prasībām, lai mazinātu Covid-19 izplatību</w:t>
            </w:r>
            <w:r w:rsidRPr="00EE54AA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EE54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</w:t>
            </w:r>
            <w:r w:rsidR="00EE54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 </w:t>
            </w:r>
            <w:r w:rsidRPr="00EE54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gada 9. jūnija MK noteikumi Nr.</w:t>
            </w:r>
            <w:r w:rsidR="00EE54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 </w:t>
            </w:r>
            <w:bookmarkStart w:id="0" w:name="_GoBack"/>
            <w:bookmarkEnd w:id="0"/>
            <w:r w:rsidRPr="00EE54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360</w:t>
            </w:r>
            <w:r w:rsidRPr="00EE54A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341E1D" w:rsidRPr="00EE54AA" w:rsidRDefault="00341E1D" w:rsidP="00341E1D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341E1D" w:rsidRPr="00EE54AA" w:rsidRDefault="00341E1D" w:rsidP="00A10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EE54AA" w:rsidTr="009C05CB">
        <w:tc>
          <w:tcPr>
            <w:tcW w:w="837" w:type="dxa"/>
          </w:tcPr>
          <w:p w:rsidR="00C216ED" w:rsidRPr="00EE54AA" w:rsidRDefault="00C216ED" w:rsidP="009C0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Pr="00EE54AA" w:rsidRDefault="000838F6" w:rsidP="009C05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E54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16ED" w:rsidRPr="00EE54AA" w:rsidRDefault="00C216ED" w:rsidP="00083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1E5" w:rsidRPr="00EE54AA">
              <w:rPr>
                <w:rFonts w:ascii="Times New Roman" w:hAnsi="Times New Roman" w:cs="Times New Roman"/>
                <w:sz w:val="24"/>
                <w:szCs w:val="24"/>
              </w:rPr>
              <w:t>Pasākuma ilgums 1 stunda – 60 minūtes.</w:t>
            </w:r>
          </w:p>
          <w:p w:rsidR="00C216ED" w:rsidRPr="00EE54AA" w:rsidRDefault="00C216ED" w:rsidP="003F00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</w:tcPr>
          <w:p w:rsidR="00C216ED" w:rsidRPr="00EE54AA" w:rsidRDefault="00C216ED" w:rsidP="009C0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EE54AA" w:rsidTr="009C05CB">
        <w:tc>
          <w:tcPr>
            <w:tcW w:w="837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EE54AA" w:rsidRDefault="00C216ED" w:rsidP="009C05CB">
            <w:pPr>
              <w:pStyle w:val="Default"/>
              <w:jc w:val="both"/>
            </w:pPr>
            <w:r w:rsidRPr="00EE54AA">
              <w:rPr>
                <w:b/>
                <w:bCs/>
              </w:rPr>
              <w:t>Pakalpojuma sniegšanas vieta un telpas</w:t>
            </w:r>
            <w:r w:rsidRPr="00EE54AA">
              <w:t xml:space="preserve">: </w:t>
            </w:r>
          </w:p>
          <w:p w:rsidR="000838F6" w:rsidRPr="00EE54AA" w:rsidRDefault="00C216ED" w:rsidP="000838F6">
            <w:pPr>
              <w:pStyle w:val="Default"/>
              <w:jc w:val="both"/>
              <w:rPr>
                <w:u w:val="single"/>
              </w:rPr>
            </w:pPr>
            <w:r w:rsidRPr="00EE54AA">
              <w:t xml:space="preserve">4.1. </w:t>
            </w:r>
            <w:r w:rsidR="008E2F04" w:rsidRPr="00EE54AA">
              <w:rPr>
                <w:b/>
                <w:bCs/>
                <w:u w:val="single"/>
              </w:rPr>
              <w:t>Talsu novada teritorijā ,</w:t>
            </w:r>
          </w:p>
          <w:p w:rsidR="00C216ED" w:rsidRPr="00EE54AA" w:rsidRDefault="008E2F04" w:rsidP="000838F6">
            <w:pPr>
              <w:pStyle w:val="Default"/>
              <w:jc w:val="both"/>
            </w:pPr>
            <w:r w:rsidRPr="00EE54AA">
              <w:t>4.2.</w:t>
            </w:r>
            <w:r w:rsidR="000838F6" w:rsidRPr="00EE54AA">
              <w:t xml:space="preserve"> Telpām </w:t>
            </w:r>
            <w:r w:rsidR="00FC165C" w:rsidRPr="00EE54AA">
              <w:t xml:space="preserve">vai teritorijai </w:t>
            </w:r>
            <w:r w:rsidR="000838F6" w:rsidRPr="00EE54AA">
              <w:t>jāatbilst LR normatīvajos aktos noteiktajām</w:t>
            </w:r>
            <w:r w:rsidR="002824EE" w:rsidRPr="00EE54AA">
              <w:t xml:space="preserve"> drošības,</w:t>
            </w:r>
            <w:r w:rsidR="000838F6" w:rsidRPr="00EE54AA">
              <w:t xml:space="preserve"> drošības tehnikas, ugunsdrošības, sanitārajām prasībām.</w:t>
            </w:r>
          </w:p>
          <w:p w:rsidR="00C216ED" w:rsidRPr="00EE54AA" w:rsidRDefault="00C216ED" w:rsidP="000838F6">
            <w:pPr>
              <w:pStyle w:val="Default"/>
              <w:jc w:val="both"/>
            </w:pPr>
            <w:r w:rsidRPr="00EE54AA">
              <w:t xml:space="preserve"> </w:t>
            </w:r>
          </w:p>
        </w:tc>
        <w:tc>
          <w:tcPr>
            <w:tcW w:w="3493" w:type="dxa"/>
          </w:tcPr>
          <w:p w:rsidR="00C216ED" w:rsidRPr="00EE54AA" w:rsidRDefault="00C216ED" w:rsidP="009C05CB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EE54AA" w:rsidTr="009C05CB">
        <w:tc>
          <w:tcPr>
            <w:tcW w:w="837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:rsidR="00C216ED" w:rsidRPr="00EE54AA" w:rsidRDefault="000838F6" w:rsidP="00083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dalībnieki</w:t>
            </w: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>: Talsu novada</w:t>
            </w:r>
            <w:r w:rsidR="008E2F04"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 bērni</w:t>
            </w:r>
            <w:r w:rsidR="00C870EB"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 (7 – 9</w:t>
            </w:r>
            <w:r w:rsidR="00EE5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70EB" w:rsidRPr="00EE54AA">
              <w:rPr>
                <w:rFonts w:ascii="Times New Roman" w:hAnsi="Times New Roman" w:cs="Times New Roman"/>
                <w:sz w:val="24"/>
                <w:szCs w:val="24"/>
              </w:rPr>
              <w:t>g.v</w:t>
            </w:r>
            <w:proofErr w:type="spellEnd"/>
            <w:r w:rsidR="00C870EB" w:rsidRPr="00EE54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93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EE54AA" w:rsidTr="009C05CB">
        <w:tc>
          <w:tcPr>
            <w:tcW w:w="837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:rsidR="00C216ED" w:rsidRPr="00EE54AA" w:rsidRDefault="000838F6" w:rsidP="009C05C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E54AA">
              <w:rPr>
                <w:rFonts w:ascii="Times New Roman" w:hAnsi="Times New Roman" w:cs="Times New Roman"/>
                <w:sz w:val="24"/>
                <w:szCs w:val="24"/>
              </w:rPr>
              <w:t>: latviešu.</w:t>
            </w:r>
          </w:p>
        </w:tc>
        <w:tc>
          <w:tcPr>
            <w:tcW w:w="3493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6ED" w:rsidRPr="00EE54AA" w:rsidTr="009C05CB">
        <w:tc>
          <w:tcPr>
            <w:tcW w:w="837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:rsidR="00C216ED" w:rsidRPr="00EE54AA" w:rsidRDefault="00AB4160" w:rsidP="009C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</w:t>
            </w:r>
            <w:r w:rsidR="00C216ED"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216ED" w:rsidRPr="00EE54AA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7.1. Pakalpojuma sniedzējs nodrošina </w:t>
            </w:r>
            <w:r w:rsidRPr="00EE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nodarbību</w:t>
            </w: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 organizēšanu.</w:t>
            </w:r>
          </w:p>
          <w:p w:rsidR="00C216ED" w:rsidRPr="00EE54AA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AA">
              <w:rPr>
                <w:rFonts w:ascii="Times New Roman" w:hAnsi="Times New Roman" w:cs="Times New Roman"/>
                <w:sz w:val="24"/>
                <w:szCs w:val="24"/>
              </w:rPr>
              <w:t xml:space="preserve"> Programmu sastāda pakalpojuma sniedzējs, </w:t>
            </w:r>
            <w:r w:rsidR="008717F0" w:rsidRPr="00EE54AA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EE54AA" w:rsidRDefault="00AA5073" w:rsidP="00BE1793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493" w:type="dxa"/>
          </w:tcPr>
          <w:p w:rsidR="00C216ED" w:rsidRPr="00EE54AA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160" w:rsidRPr="00EE54AA" w:rsidRDefault="00AB4160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EE54AA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EE54AA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EE54AA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 xml:space="preserve">      Vārds, uzvārds: ___________________________________</w:t>
      </w:r>
    </w:p>
    <w:p w:rsidR="00C216ED" w:rsidRPr="00EE54AA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EE54AA" w:rsidRDefault="00C216ED" w:rsidP="004E0252">
      <w:pPr>
        <w:spacing w:line="360" w:lineRule="auto"/>
        <w:ind w:left="2026"/>
        <w:rPr>
          <w:rFonts w:ascii="Times New Roman" w:hAnsi="Times New Roman" w:cs="Times New Roman"/>
          <w:b/>
          <w:sz w:val="24"/>
          <w:szCs w:val="24"/>
        </w:rPr>
      </w:pPr>
      <w:r w:rsidRPr="00EE54AA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EE54AA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sectPr w:rsidR="00C216ED" w:rsidRPr="00EE54AA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60B90"/>
    <w:multiLevelType w:val="hybridMultilevel"/>
    <w:tmpl w:val="839A0CAA"/>
    <w:lvl w:ilvl="0" w:tplc="0426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32A8274E"/>
    <w:multiLevelType w:val="multilevel"/>
    <w:tmpl w:val="15E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D26C47"/>
    <w:multiLevelType w:val="multilevel"/>
    <w:tmpl w:val="3AE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0"/>
  </w:num>
  <w:num w:numId="12">
    <w:abstractNumId w:val="6"/>
  </w:num>
  <w:num w:numId="13">
    <w:abstractNumId w:val="8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E8"/>
    <w:rsid w:val="00022F14"/>
    <w:rsid w:val="00042F8A"/>
    <w:rsid w:val="000477F1"/>
    <w:rsid w:val="000578D4"/>
    <w:rsid w:val="0006211E"/>
    <w:rsid w:val="0007752B"/>
    <w:rsid w:val="000838F6"/>
    <w:rsid w:val="00093EE5"/>
    <w:rsid w:val="000D49DC"/>
    <w:rsid w:val="000F11B1"/>
    <w:rsid w:val="001531BA"/>
    <w:rsid w:val="001645D3"/>
    <w:rsid w:val="00246290"/>
    <w:rsid w:val="00257FC3"/>
    <w:rsid w:val="0026127E"/>
    <w:rsid w:val="002824EE"/>
    <w:rsid w:val="002853DF"/>
    <w:rsid w:val="00291933"/>
    <w:rsid w:val="002E68BB"/>
    <w:rsid w:val="002F62F8"/>
    <w:rsid w:val="0030588F"/>
    <w:rsid w:val="00314B61"/>
    <w:rsid w:val="00341E1D"/>
    <w:rsid w:val="00391C7A"/>
    <w:rsid w:val="003B1705"/>
    <w:rsid w:val="003E3000"/>
    <w:rsid w:val="003F00F3"/>
    <w:rsid w:val="00422FAD"/>
    <w:rsid w:val="004322DB"/>
    <w:rsid w:val="004550FE"/>
    <w:rsid w:val="004C4F7A"/>
    <w:rsid w:val="004E0252"/>
    <w:rsid w:val="004E6C41"/>
    <w:rsid w:val="00501C2A"/>
    <w:rsid w:val="005159D9"/>
    <w:rsid w:val="005373CB"/>
    <w:rsid w:val="00546AAA"/>
    <w:rsid w:val="00565A64"/>
    <w:rsid w:val="0057650D"/>
    <w:rsid w:val="005816F8"/>
    <w:rsid w:val="005C0275"/>
    <w:rsid w:val="005D5C37"/>
    <w:rsid w:val="005D6F5C"/>
    <w:rsid w:val="00604D6B"/>
    <w:rsid w:val="006539D8"/>
    <w:rsid w:val="006557AB"/>
    <w:rsid w:val="00671E62"/>
    <w:rsid w:val="006861AC"/>
    <w:rsid w:val="006C45B1"/>
    <w:rsid w:val="006E3605"/>
    <w:rsid w:val="00772F28"/>
    <w:rsid w:val="0079397A"/>
    <w:rsid w:val="007F32B4"/>
    <w:rsid w:val="00816751"/>
    <w:rsid w:val="00842D6E"/>
    <w:rsid w:val="008717F0"/>
    <w:rsid w:val="008E2F04"/>
    <w:rsid w:val="008E7634"/>
    <w:rsid w:val="00930B80"/>
    <w:rsid w:val="00947ADF"/>
    <w:rsid w:val="00990173"/>
    <w:rsid w:val="009E19D8"/>
    <w:rsid w:val="00A10934"/>
    <w:rsid w:val="00A25BE8"/>
    <w:rsid w:val="00A4489E"/>
    <w:rsid w:val="00A64FC0"/>
    <w:rsid w:val="00AA5073"/>
    <w:rsid w:val="00AB3DBB"/>
    <w:rsid w:val="00AB4160"/>
    <w:rsid w:val="00B16CCC"/>
    <w:rsid w:val="00B528BB"/>
    <w:rsid w:val="00BC0141"/>
    <w:rsid w:val="00BC10ED"/>
    <w:rsid w:val="00BD19E8"/>
    <w:rsid w:val="00BE1793"/>
    <w:rsid w:val="00C216ED"/>
    <w:rsid w:val="00C25681"/>
    <w:rsid w:val="00C4261E"/>
    <w:rsid w:val="00C85384"/>
    <w:rsid w:val="00C870EB"/>
    <w:rsid w:val="00D95AAD"/>
    <w:rsid w:val="00DB1762"/>
    <w:rsid w:val="00DD1B45"/>
    <w:rsid w:val="00E212BA"/>
    <w:rsid w:val="00E47191"/>
    <w:rsid w:val="00EB3BCE"/>
    <w:rsid w:val="00EE54AA"/>
    <w:rsid w:val="00F154C4"/>
    <w:rsid w:val="00F76CB4"/>
    <w:rsid w:val="00F77C80"/>
    <w:rsid w:val="00F87473"/>
    <w:rsid w:val="00FA7E34"/>
    <w:rsid w:val="00FC165C"/>
    <w:rsid w:val="00FC5AD3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09913"/>
  <w15:docId w15:val="{28D5CAA6-BB9C-497B-8F2F-FD6A47FD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2242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 Dimante</dc:creator>
  <cp:lastModifiedBy>Solvita Alsberga</cp:lastModifiedBy>
  <cp:revision>2</cp:revision>
  <dcterms:created xsi:type="dcterms:W3CDTF">2021-08-25T10:20:00Z</dcterms:created>
  <dcterms:modified xsi:type="dcterms:W3CDTF">2021-08-25T10:20:00Z</dcterms:modified>
</cp:coreProperties>
</file>