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6B44" w:rsidRDefault="001A6B44" w:rsidP="001A6B44">
      <w:pPr>
        <w:tabs>
          <w:tab w:val="left" w:pos="540"/>
        </w:tabs>
        <w:spacing w:after="0" w:line="240" w:lineRule="auto"/>
        <w:ind w:right="-6"/>
        <w:jc w:val="right"/>
        <w:outlineLvl w:val="0"/>
        <w:rPr>
          <w:rFonts w:ascii="Times New Roman" w:hAnsi="Times New Roman"/>
          <w:szCs w:val="24"/>
        </w:rPr>
      </w:pPr>
      <w:r>
        <w:rPr>
          <w:rFonts w:ascii="Times New Roman" w:hAnsi="Times New Roman"/>
          <w:szCs w:val="24"/>
        </w:rPr>
        <w:t>3.pielikums</w:t>
      </w:r>
    </w:p>
    <w:p w:rsidR="001A6B44" w:rsidRDefault="001A6B44" w:rsidP="001A6B44">
      <w:pPr>
        <w:tabs>
          <w:tab w:val="left" w:pos="540"/>
        </w:tabs>
        <w:spacing w:after="0" w:line="240" w:lineRule="auto"/>
        <w:ind w:right="-6"/>
        <w:jc w:val="right"/>
        <w:outlineLvl w:val="0"/>
        <w:rPr>
          <w:rFonts w:ascii="Times New Roman" w:hAnsi="Times New Roman"/>
          <w:szCs w:val="24"/>
        </w:rPr>
      </w:pPr>
      <w:r>
        <w:rPr>
          <w:rFonts w:ascii="Times New Roman" w:hAnsi="Times New Roman"/>
          <w:szCs w:val="24"/>
        </w:rPr>
        <w:t xml:space="preserve">Cenu aptaujas “Talsu novada bezpiederīgo mirušo apbedīšanas pakalpojuma </w:t>
      </w:r>
    </w:p>
    <w:p w:rsidR="00401F02" w:rsidRPr="00401F02" w:rsidRDefault="001A6B44" w:rsidP="001A6B44">
      <w:pPr>
        <w:tabs>
          <w:tab w:val="left" w:pos="540"/>
        </w:tabs>
        <w:spacing w:after="0" w:line="240" w:lineRule="auto"/>
        <w:ind w:right="-6"/>
        <w:jc w:val="right"/>
        <w:outlineLvl w:val="0"/>
        <w:rPr>
          <w:rFonts w:ascii="Times New Roman" w:eastAsia="Calibri" w:hAnsi="Times New Roman" w:cs="Times New Roman"/>
          <w:sz w:val="24"/>
          <w:szCs w:val="24"/>
        </w:rPr>
      </w:pPr>
      <w:r>
        <w:rPr>
          <w:rFonts w:ascii="Times New Roman" w:hAnsi="Times New Roman"/>
          <w:szCs w:val="24"/>
        </w:rPr>
        <w:t>sniegšan</w:t>
      </w:r>
      <w:r w:rsidR="00A30209">
        <w:rPr>
          <w:rFonts w:ascii="Times New Roman" w:hAnsi="Times New Roman"/>
          <w:szCs w:val="24"/>
        </w:rPr>
        <w:t>a</w:t>
      </w:r>
      <w:r>
        <w:rPr>
          <w:rFonts w:ascii="Times New Roman" w:hAnsi="Times New Roman"/>
          <w:szCs w:val="24"/>
        </w:rPr>
        <w:t xml:space="preserve"> un kapavietu labie</w:t>
      </w:r>
      <w:r w:rsidR="00415FE1">
        <w:rPr>
          <w:rFonts w:ascii="Times New Roman" w:hAnsi="Times New Roman"/>
          <w:szCs w:val="24"/>
        </w:rPr>
        <w:t>kārtošana” ID Nr. TNPz 2022/20</w:t>
      </w:r>
    </w:p>
    <w:p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p>
    <w:p w:rsidR="00401F02" w:rsidRPr="00401F02" w:rsidRDefault="00401F02" w:rsidP="001A6B44">
      <w:pPr>
        <w:tabs>
          <w:tab w:val="left" w:pos="540"/>
        </w:tabs>
        <w:spacing w:after="0" w:line="240" w:lineRule="auto"/>
        <w:ind w:right="-6"/>
        <w:jc w:val="center"/>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FINANŠU PIEDĀVĀJUMS</w:t>
      </w:r>
    </w:p>
    <w:p w:rsidR="00401F02" w:rsidRPr="001A6B44" w:rsidRDefault="00401F02" w:rsidP="001A6B44">
      <w:pPr>
        <w:tabs>
          <w:tab w:val="left" w:pos="540"/>
        </w:tabs>
        <w:spacing w:after="0" w:line="240" w:lineRule="auto"/>
        <w:ind w:right="-6"/>
        <w:jc w:val="center"/>
        <w:outlineLvl w:val="0"/>
        <w:rPr>
          <w:rFonts w:ascii="Times New Roman" w:eastAsia="Calibri" w:hAnsi="Times New Roman" w:cs="Times New Roman"/>
          <w:sz w:val="24"/>
          <w:szCs w:val="24"/>
        </w:rPr>
      </w:pPr>
      <w:r w:rsidRPr="001A6B44">
        <w:rPr>
          <w:rFonts w:ascii="Times New Roman" w:eastAsia="Calibri" w:hAnsi="Times New Roman" w:cs="Times New Roman"/>
          <w:sz w:val="24"/>
          <w:szCs w:val="24"/>
        </w:rPr>
        <w:t>“Talsu novada bezpiederīgo mirušo apbedīšanas pakalpojuma sniegšan</w:t>
      </w:r>
      <w:r w:rsidR="00A30209">
        <w:rPr>
          <w:rFonts w:ascii="Times New Roman" w:eastAsia="Calibri" w:hAnsi="Times New Roman" w:cs="Times New Roman"/>
          <w:sz w:val="24"/>
          <w:szCs w:val="24"/>
        </w:rPr>
        <w:t>a</w:t>
      </w:r>
      <w:bookmarkStart w:id="0" w:name="_GoBack"/>
      <w:bookmarkEnd w:id="0"/>
      <w:r w:rsidRPr="001A6B44">
        <w:rPr>
          <w:rFonts w:ascii="Times New Roman" w:eastAsia="Calibri" w:hAnsi="Times New Roman" w:cs="Times New Roman"/>
          <w:sz w:val="24"/>
          <w:szCs w:val="24"/>
        </w:rPr>
        <w:t xml:space="preserve"> un kapavietu labiekārtošana”</w:t>
      </w:r>
    </w:p>
    <w:p w:rsidR="00401F02" w:rsidRPr="00401F02" w:rsidRDefault="00401F02" w:rsidP="001A6B44">
      <w:pPr>
        <w:tabs>
          <w:tab w:val="left" w:pos="540"/>
        </w:tabs>
        <w:spacing w:after="0" w:line="240" w:lineRule="auto"/>
        <w:ind w:right="-6"/>
        <w:jc w:val="center"/>
        <w:outlineLvl w:val="0"/>
        <w:rPr>
          <w:rFonts w:ascii="Times New Roman" w:eastAsia="Calibri" w:hAnsi="Times New Roman" w:cs="Times New Roman"/>
          <w:sz w:val="24"/>
          <w:szCs w:val="24"/>
        </w:rPr>
      </w:pPr>
    </w:p>
    <w:tbl>
      <w:tblPr>
        <w:tblStyle w:val="Reatabula"/>
        <w:tblW w:w="0" w:type="auto"/>
        <w:tblLook w:val="04A0" w:firstRow="1" w:lastRow="0" w:firstColumn="1" w:lastColumn="0" w:noHBand="0" w:noVBand="1"/>
      </w:tblPr>
      <w:tblGrid>
        <w:gridCol w:w="3828"/>
        <w:gridCol w:w="5376"/>
      </w:tblGrid>
      <w:tr w:rsidR="00401F02" w:rsidRPr="00401F02" w:rsidTr="00FD411F">
        <w:tc>
          <w:tcPr>
            <w:tcW w:w="3828" w:type="dxa"/>
            <w:tcBorders>
              <w:top w:val="nil"/>
              <w:left w:val="nil"/>
              <w:bottom w:val="single" w:sz="4" w:space="0" w:color="auto"/>
              <w:right w:val="nil"/>
            </w:tcBorders>
          </w:tcPr>
          <w:p w:rsidR="00401F02" w:rsidRPr="00401F02" w:rsidRDefault="00401F02" w:rsidP="001A6B44">
            <w:pPr>
              <w:tabs>
                <w:tab w:val="left" w:pos="540"/>
              </w:tabs>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Pretendenta nosaukums:</w:t>
            </w:r>
          </w:p>
        </w:tc>
        <w:tc>
          <w:tcPr>
            <w:tcW w:w="5376" w:type="dxa"/>
            <w:tcBorders>
              <w:top w:val="nil"/>
              <w:left w:val="nil"/>
              <w:bottom w:val="single" w:sz="4" w:space="0" w:color="auto"/>
              <w:right w:val="nil"/>
            </w:tcBorders>
          </w:tcPr>
          <w:p w:rsidR="00401F02" w:rsidRPr="00401F02" w:rsidRDefault="00401F02" w:rsidP="001A6B44">
            <w:pPr>
              <w:tabs>
                <w:tab w:val="left" w:pos="540"/>
              </w:tabs>
              <w:ind w:right="-6"/>
              <w:jc w:val="center"/>
              <w:outlineLvl w:val="0"/>
              <w:rPr>
                <w:rFonts w:ascii="Times New Roman" w:eastAsia="Calibri" w:hAnsi="Times New Roman" w:cs="Times New Roman"/>
                <w:sz w:val="24"/>
                <w:szCs w:val="24"/>
              </w:rPr>
            </w:pPr>
          </w:p>
        </w:tc>
      </w:tr>
      <w:tr w:rsidR="00401F02" w:rsidRPr="00401F02" w:rsidTr="00FD411F">
        <w:tc>
          <w:tcPr>
            <w:tcW w:w="3828" w:type="dxa"/>
            <w:tcBorders>
              <w:top w:val="single" w:sz="4" w:space="0" w:color="auto"/>
              <w:left w:val="nil"/>
              <w:bottom w:val="single" w:sz="4" w:space="0" w:color="auto"/>
              <w:right w:val="nil"/>
            </w:tcBorders>
          </w:tcPr>
          <w:p w:rsidR="00401F02" w:rsidRPr="00401F02" w:rsidRDefault="00401F02" w:rsidP="001A6B44">
            <w:pPr>
              <w:tabs>
                <w:tab w:val="left" w:pos="540"/>
              </w:tabs>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Juridiskās adrese:</w:t>
            </w:r>
          </w:p>
        </w:tc>
        <w:tc>
          <w:tcPr>
            <w:tcW w:w="5376" w:type="dxa"/>
            <w:tcBorders>
              <w:top w:val="single" w:sz="4" w:space="0" w:color="auto"/>
              <w:left w:val="nil"/>
              <w:bottom w:val="single" w:sz="4" w:space="0" w:color="auto"/>
              <w:right w:val="nil"/>
            </w:tcBorders>
          </w:tcPr>
          <w:p w:rsidR="00401F02" w:rsidRPr="00401F02" w:rsidRDefault="00401F02" w:rsidP="001A6B44">
            <w:pPr>
              <w:tabs>
                <w:tab w:val="left" w:pos="540"/>
              </w:tabs>
              <w:ind w:right="-6"/>
              <w:jc w:val="center"/>
              <w:outlineLvl w:val="0"/>
              <w:rPr>
                <w:rFonts w:ascii="Times New Roman" w:eastAsia="Calibri" w:hAnsi="Times New Roman" w:cs="Times New Roman"/>
                <w:sz w:val="24"/>
                <w:szCs w:val="24"/>
              </w:rPr>
            </w:pPr>
          </w:p>
        </w:tc>
      </w:tr>
      <w:tr w:rsidR="00401F02" w:rsidRPr="00401F02" w:rsidTr="00FD411F">
        <w:tc>
          <w:tcPr>
            <w:tcW w:w="3828" w:type="dxa"/>
            <w:tcBorders>
              <w:top w:val="single" w:sz="4" w:space="0" w:color="auto"/>
              <w:left w:val="nil"/>
              <w:bottom w:val="single" w:sz="4" w:space="0" w:color="auto"/>
              <w:right w:val="nil"/>
            </w:tcBorders>
          </w:tcPr>
          <w:p w:rsidR="00401F02" w:rsidRPr="00401F02" w:rsidRDefault="00401F02" w:rsidP="001A6B44">
            <w:pPr>
              <w:tabs>
                <w:tab w:val="left" w:pos="540"/>
              </w:tabs>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Nodokļu maksātāja reģistrācijas Nr.:</w:t>
            </w:r>
          </w:p>
        </w:tc>
        <w:tc>
          <w:tcPr>
            <w:tcW w:w="5376" w:type="dxa"/>
            <w:tcBorders>
              <w:top w:val="single" w:sz="4" w:space="0" w:color="auto"/>
              <w:left w:val="nil"/>
              <w:bottom w:val="single" w:sz="4" w:space="0" w:color="auto"/>
              <w:right w:val="nil"/>
            </w:tcBorders>
          </w:tcPr>
          <w:p w:rsidR="00401F02" w:rsidRPr="00401F02" w:rsidRDefault="00401F02" w:rsidP="001A6B44">
            <w:pPr>
              <w:tabs>
                <w:tab w:val="left" w:pos="540"/>
              </w:tabs>
              <w:ind w:right="-6"/>
              <w:jc w:val="center"/>
              <w:outlineLvl w:val="0"/>
              <w:rPr>
                <w:rFonts w:ascii="Times New Roman" w:eastAsia="Calibri" w:hAnsi="Times New Roman" w:cs="Times New Roman"/>
                <w:sz w:val="24"/>
                <w:szCs w:val="24"/>
              </w:rPr>
            </w:pPr>
          </w:p>
        </w:tc>
      </w:tr>
      <w:tr w:rsidR="00401F02" w:rsidRPr="00401F02" w:rsidTr="00FD411F">
        <w:tc>
          <w:tcPr>
            <w:tcW w:w="3828" w:type="dxa"/>
            <w:tcBorders>
              <w:top w:val="single" w:sz="4" w:space="0" w:color="auto"/>
              <w:left w:val="nil"/>
              <w:bottom w:val="single" w:sz="4" w:space="0" w:color="auto"/>
              <w:right w:val="nil"/>
            </w:tcBorders>
          </w:tcPr>
          <w:p w:rsidR="00401F02" w:rsidRPr="00401F02" w:rsidRDefault="00401F02" w:rsidP="001A6B44">
            <w:pPr>
              <w:tabs>
                <w:tab w:val="left" w:pos="540"/>
              </w:tabs>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Bankas rekvizīti:</w:t>
            </w:r>
          </w:p>
        </w:tc>
        <w:tc>
          <w:tcPr>
            <w:tcW w:w="5376" w:type="dxa"/>
            <w:tcBorders>
              <w:top w:val="single" w:sz="4" w:space="0" w:color="auto"/>
              <w:left w:val="nil"/>
              <w:bottom w:val="single" w:sz="4" w:space="0" w:color="auto"/>
              <w:right w:val="nil"/>
            </w:tcBorders>
          </w:tcPr>
          <w:p w:rsidR="00401F02" w:rsidRPr="00401F02" w:rsidRDefault="00401F02" w:rsidP="001A6B44">
            <w:pPr>
              <w:tabs>
                <w:tab w:val="left" w:pos="540"/>
              </w:tabs>
              <w:ind w:right="-6"/>
              <w:jc w:val="center"/>
              <w:outlineLvl w:val="0"/>
              <w:rPr>
                <w:rFonts w:ascii="Times New Roman" w:eastAsia="Calibri" w:hAnsi="Times New Roman" w:cs="Times New Roman"/>
                <w:sz w:val="24"/>
                <w:szCs w:val="24"/>
              </w:rPr>
            </w:pPr>
          </w:p>
        </w:tc>
      </w:tr>
    </w:tbl>
    <w:p w:rsidR="00401F02" w:rsidRPr="00401F02" w:rsidRDefault="00401F02" w:rsidP="001A6B44">
      <w:pPr>
        <w:tabs>
          <w:tab w:val="left" w:pos="540"/>
        </w:tabs>
        <w:spacing w:after="0" w:line="240" w:lineRule="auto"/>
        <w:ind w:right="-6"/>
        <w:outlineLvl w:val="0"/>
        <w:rPr>
          <w:rFonts w:ascii="Times New Roman" w:eastAsia="Calibri" w:hAnsi="Times New Roman" w:cs="Times New Roman"/>
          <w:b/>
          <w:sz w:val="24"/>
          <w:szCs w:val="24"/>
        </w:rPr>
      </w:pPr>
    </w:p>
    <w:p w:rsidR="00401F02" w:rsidRPr="00401F02" w:rsidRDefault="00401F02" w:rsidP="001A6B44">
      <w:pPr>
        <w:tabs>
          <w:tab w:val="left" w:pos="540"/>
        </w:tabs>
        <w:spacing w:after="0" w:line="240" w:lineRule="auto"/>
        <w:ind w:right="-6" w:firstLine="567"/>
        <w:jc w:val="both"/>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Piedāvājam izpildīt pasūtījumu saskaņā a</w:t>
      </w:r>
      <w:r w:rsidR="001A6B44">
        <w:rPr>
          <w:rFonts w:ascii="Times New Roman" w:eastAsia="Calibri" w:hAnsi="Times New Roman" w:cs="Times New Roman"/>
          <w:b/>
          <w:sz w:val="24"/>
          <w:szCs w:val="24"/>
        </w:rPr>
        <w:t>r cenu aptaujas ID Nr. TNPz 2022</w:t>
      </w:r>
      <w:r w:rsidRPr="00401F02">
        <w:rPr>
          <w:rFonts w:ascii="Times New Roman" w:eastAsia="Calibri" w:hAnsi="Times New Roman" w:cs="Times New Roman"/>
          <w:b/>
          <w:sz w:val="24"/>
          <w:szCs w:val="24"/>
        </w:rPr>
        <w:t>/</w:t>
      </w:r>
      <w:r w:rsidR="00415FE1">
        <w:rPr>
          <w:rFonts w:ascii="Times New Roman" w:eastAsia="Calibri" w:hAnsi="Times New Roman" w:cs="Times New Roman"/>
          <w:b/>
          <w:sz w:val="24"/>
          <w:szCs w:val="24"/>
        </w:rPr>
        <w:t>20</w:t>
      </w:r>
      <w:r w:rsidRPr="00401F02">
        <w:rPr>
          <w:rFonts w:ascii="Times New Roman" w:eastAsia="Calibri" w:hAnsi="Times New Roman" w:cs="Times New Roman"/>
          <w:b/>
          <w:sz w:val="24"/>
          <w:szCs w:val="24"/>
        </w:rPr>
        <w:t xml:space="preserve"> izvirzītajām prasībām EUR (neiesk. PVN):</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3844"/>
        <w:gridCol w:w="1259"/>
        <w:gridCol w:w="867"/>
        <w:gridCol w:w="1543"/>
        <w:gridCol w:w="1276"/>
      </w:tblGrid>
      <w:tr w:rsidR="00401F02" w:rsidRPr="00401F02" w:rsidTr="00213AC3">
        <w:trPr>
          <w:trHeight w:val="284"/>
          <w:jc w:val="center"/>
        </w:trPr>
        <w:tc>
          <w:tcPr>
            <w:tcW w:w="704" w:type="dxa"/>
            <w:vMerge w:val="restart"/>
            <w:shd w:val="clear" w:color="auto" w:fill="BFBFBF"/>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Nr. p.k.</w:t>
            </w:r>
          </w:p>
        </w:tc>
        <w:tc>
          <w:tcPr>
            <w:tcW w:w="3844" w:type="dxa"/>
            <w:vMerge w:val="restart"/>
            <w:shd w:val="clear" w:color="auto" w:fill="BFBFBF"/>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Pakalpojuma nosaukums</w:t>
            </w:r>
          </w:p>
        </w:tc>
        <w:tc>
          <w:tcPr>
            <w:tcW w:w="4945" w:type="dxa"/>
            <w:gridSpan w:val="4"/>
            <w:shd w:val="clear" w:color="auto" w:fill="BFBFBF"/>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Izmaksas</w:t>
            </w:r>
          </w:p>
        </w:tc>
      </w:tr>
      <w:tr w:rsidR="00401F02" w:rsidRPr="00401F02" w:rsidTr="00213AC3">
        <w:trPr>
          <w:trHeight w:val="555"/>
          <w:jc w:val="center"/>
        </w:trPr>
        <w:tc>
          <w:tcPr>
            <w:tcW w:w="704" w:type="dxa"/>
            <w:vMerge/>
            <w:shd w:val="clear" w:color="auto" w:fill="BFBFBF"/>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p>
        </w:tc>
        <w:tc>
          <w:tcPr>
            <w:tcW w:w="3844" w:type="dxa"/>
            <w:vMerge/>
            <w:shd w:val="clear" w:color="auto" w:fill="BFBFBF"/>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p>
        </w:tc>
        <w:tc>
          <w:tcPr>
            <w:tcW w:w="1259" w:type="dxa"/>
            <w:shd w:val="clear" w:color="auto" w:fill="BFBFBF"/>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Mēr-vienība</w:t>
            </w:r>
          </w:p>
        </w:tc>
        <w:tc>
          <w:tcPr>
            <w:tcW w:w="867" w:type="dxa"/>
            <w:shd w:val="clear" w:color="auto" w:fill="BFBFBF"/>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 xml:space="preserve">Vienības cena </w:t>
            </w:r>
            <w:r w:rsidRPr="00401F02">
              <w:rPr>
                <w:rFonts w:ascii="Times New Roman" w:eastAsia="Calibri" w:hAnsi="Times New Roman" w:cs="Times New Roman"/>
                <w:b/>
                <w:i/>
                <w:szCs w:val="24"/>
              </w:rPr>
              <w:t xml:space="preserve">euro, </w:t>
            </w:r>
            <w:r w:rsidRPr="00401F02">
              <w:rPr>
                <w:rFonts w:ascii="Times New Roman" w:eastAsia="Calibri" w:hAnsi="Times New Roman" w:cs="Times New Roman"/>
                <w:b/>
                <w:szCs w:val="24"/>
              </w:rPr>
              <w:t>bez PVN</w:t>
            </w:r>
          </w:p>
        </w:tc>
        <w:tc>
          <w:tcPr>
            <w:tcW w:w="1543" w:type="dxa"/>
            <w:shd w:val="clear" w:color="auto" w:fill="BFBFBF"/>
            <w:vAlign w:val="center"/>
          </w:tcPr>
          <w:p w:rsidR="00401F02" w:rsidRPr="00401F02" w:rsidRDefault="001A6B44" w:rsidP="00401F02">
            <w:pPr>
              <w:tabs>
                <w:tab w:val="left" w:pos="540"/>
              </w:tabs>
              <w:spacing w:after="0" w:line="240" w:lineRule="auto"/>
              <w:ind w:right="-6"/>
              <w:jc w:val="center"/>
              <w:outlineLvl w:val="0"/>
              <w:rPr>
                <w:rFonts w:ascii="Times New Roman" w:eastAsia="Calibri" w:hAnsi="Times New Roman" w:cs="Times New Roman"/>
                <w:b/>
                <w:szCs w:val="24"/>
              </w:rPr>
            </w:pPr>
            <w:r>
              <w:rPr>
                <w:rFonts w:ascii="Times New Roman" w:eastAsia="Calibri" w:hAnsi="Times New Roman" w:cs="Times New Roman"/>
                <w:b/>
                <w:szCs w:val="24"/>
              </w:rPr>
              <w:t>Orientē</w:t>
            </w:r>
            <w:r w:rsidR="00401F02" w:rsidRPr="00401F02">
              <w:rPr>
                <w:rFonts w:ascii="Times New Roman" w:eastAsia="Calibri" w:hAnsi="Times New Roman" w:cs="Times New Roman"/>
                <w:b/>
                <w:szCs w:val="24"/>
              </w:rPr>
              <w:t>jošais</w:t>
            </w:r>
          </w:p>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 xml:space="preserve">vienību skaits* </w:t>
            </w:r>
            <w:r w:rsidRPr="00401F02">
              <w:rPr>
                <w:rFonts w:ascii="Times New Roman" w:eastAsia="Calibri" w:hAnsi="Times New Roman" w:cs="Times New Roman"/>
                <w:b/>
                <w:i/>
                <w:szCs w:val="24"/>
              </w:rPr>
              <w:t>(līguma izpildes periodā)</w:t>
            </w:r>
          </w:p>
        </w:tc>
        <w:tc>
          <w:tcPr>
            <w:tcW w:w="1276" w:type="dxa"/>
            <w:shd w:val="clear" w:color="auto" w:fill="BFBFBF"/>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szCs w:val="24"/>
              </w:rPr>
              <w:t>Orientējošā līgumcena</w:t>
            </w:r>
          </w:p>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b/>
                <w:szCs w:val="24"/>
              </w:rPr>
            </w:pPr>
            <w:r w:rsidRPr="00401F02">
              <w:rPr>
                <w:rFonts w:ascii="Times New Roman" w:eastAsia="Calibri" w:hAnsi="Times New Roman" w:cs="Times New Roman"/>
                <w:b/>
                <w:i/>
                <w:szCs w:val="24"/>
              </w:rPr>
              <w:t>euro</w:t>
            </w:r>
            <w:r w:rsidRPr="00401F02">
              <w:rPr>
                <w:rFonts w:ascii="Times New Roman" w:eastAsia="Calibri" w:hAnsi="Times New Roman" w:cs="Times New Roman"/>
                <w:b/>
                <w:szCs w:val="24"/>
              </w:rPr>
              <w:t>, bez PVN</w:t>
            </w:r>
          </w:p>
        </w:tc>
      </w:tr>
      <w:tr w:rsidR="00401F02" w:rsidRPr="00401F02" w:rsidTr="00213AC3">
        <w:trPr>
          <w:trHeight w:val="147"/>
          <w:jc w:val="center"/>
        </w:trPr>
        <w:tc>
          <w:tcPr>
            <w:tcW w:w="704"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1</w:t>
            </w:r>
          </w:p>
        </w:tc>
        <w:tc>
          <w:tcPr>
            <w:tcW w:w="3844"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2</w:t>
            </w:r>
          </w:p>
        </w:tc>
        <w:tc>
          <w:tcPr>
            <w:tcW w:w="1259"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3</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4</w:t>
            </w: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5</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i/>
                <w:sz w:val="24"/>
                <w:szCs w:val="24"/>
              </w:rPr>
              <w:t>6(4*5)</w:t>
            </w:r>
          </w:p>
        </w:tc>
      </w:tr>
      <w:tr w:rsidR="00D2420A" w:rsidRPr="00401F02" w:rsidTr="00213AC3">
        <w:trPr>
          <w:trHeight w:val="147"/>
          <w:jc w:val="center"/>
        </w:trPr>
        <w:tc>
          <w:tcPr>
            <w:tcW w:w="9493" w:type="dxa"/>
            <w:gridSpan w:val="6"/>
            <w:shd w:val="clear" w:color="auto" w:fill="BFBFBF"/>
            <w:vAlign w:val="center"/>
          </w:tcPr>
          <w:p w:rsidR="00D2420A" w:rsidRPr="00401F02" w:rsidRDefault="00D2420A" w:rsidP="00D2420A">
            <w:pPr>
              <w:tabs>
                <w:tab w:val="left" w:pos="540"/>
              </w:tabs>
              <w:spacing w:after="0" w:line="240" w:lineRule="auto"/>
              <w:ind w:right="-6"/>
              <w:jc w:val="center"/>
              <w:outlineLvl w:val="0"/>
              <w:rPr>
                <w:rFonts w:ascii="Times New Roman" w:eastAsia="Calibri" w:hAnsi="Times New Roman" w:cs="Times New Roman"/>
                <w:i/>
                <w:sz w:val="24"/>
                <w:szCs w:val="24"/>
              </w:rPr>
            </w:pPr>
            <w:r w:rsidRPr="00401F02">
              <w:rPr>
                <w:rFonts w:ascii="Times New Roman" w:eastAsia="Calibri" w:hAnsi="Times New Roman" w:cs="Times New Roman"/>
                <w:b/>
                <w:i/>
                <w:sz w:val="24"/>
                <w:szCs w:val="24"/>
              </w:rPr>
              <w:t>Apbedīšanas izmaksas apbedīšanai zārkā</w:t>
            </w: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 xml:space="preserve">Specializētā transporta pakalpojumi, kas saistīti ar mirušā transportēšanu </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km</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 km/</w:t>
            </w:r>
            <w:r w:rsidRPr="00401F02">
              <w:rPr>
                <w:rFonts w:ascii="Times New Roman" w:eastAsia="Calibri" w:hAnsi="Times New Roman" w:cs="Times New Roman"/>
                <w:szCs w:val="24"/>
              </w:rPr>
              <w:t>par vienas mirušās personas transportēšanu</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uzglabāšana morgā</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diennakts</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apmazgāšana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apģērbšana un iezārkošana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Zārks ar piederumiem (mirušā gultiņa, spilvens, palags)</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gab.</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Kapa rakšana, aizbēršana un kapa kopiņas izveidošana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Zārka ar mirušo nešana līdz kapa vietai, nolaišana kapā</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Plāksnes ar mirušās personas datiem uzstādīšana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Viena plāksne vienai personai</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D2420A" w:rsidRPr="00401F02" w:rsidTr="00213AC3">
        <w:trPr>
          <w:trHeight w:val="147"/>
          <w:jc w:val="center"/>
        </w:trPr>
        <w:tc>
          <w:tcPr>
            <w:tcW w:w="9493" w:type="dxa"/>
            <w:gridSpan w:val="6"/>
            <w:shd w:val="clear" w:color="auto" w:fill="BFBFBF"/>
            <w:vAlign w:val="center"/>
          </w:tcPr>
          <w:p w:rsidR="00D2420A" w:rsidRPr="00401F02" w:rsidRDefault="00D2420A"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b/>
                <w:i/>
                <w:sz w:val="24"/>
                <w:szCs w:val="24"/>
              </w:rPr>
              <w:t>Apbedīšanas izmaksas kremējot</w:t>
            </w: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uzglabāšana morgā</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diennakts</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apmazgāšana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apģērbšana un iezārkošana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 xml:space="preserve">Zārks kremēšanai </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gab.</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Specializētā transporta pakalpojumi, kas saistīti ar mirušā transportēšanu (t.sk. mirušā transportēšanu uz krematoriju)</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km</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Mirušā pārnešana kremācijai</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Kremācija, t.sk. kapsula ar mirušā pelniem un ar mirušās personas datiem</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persona/gab.</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16.</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Kapsulas ar mirušā pelniem uzglabāšana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gab.</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Kapavietas planēšana un nolīdzināšana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gab.</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Akmens plāksnes (izmērs, platums 50 cm, augstums 60 cm) ar kremēto personu datiem uzstādīšana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gab.</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147"/>
          <w:jc w:val="center"/>
        </w:trPr>
        <w:tc>
          <w:tcPr>
            <w:tcW w:w="704" w:type="dxa"/>
            <w:vAlign w:val="center"/>
          </w:tcPr>
          <w:p w:rsidR="00401F02" w:rsidRPr="00401F02" w:rsidRDefault="005018F1" w:rsidP="00401F02">
            <w:pPr>
              <w:tabs>
                <w:tab w:val="left" w:pos="540"/>
              </w:tabs>
              <w:spacing w:after="0" w:line="240" w:lineRule="auto"/>
              <w:ind w:right="-6"/>
              <w:outlineLvl w:val="0"/>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844" w:type="dxa"/>
            <w:vAlign w:val="center"/>
          </w:tcPr>
          <w:p w:rsidR="00401F02" w:rsidRPr="00401F02" w:rsidRDefault="00401F02" w:rsidP="00401F02">
            <w:pPr>
              <w:tabs>
                <w:tab w:val="left" w:pos="540"/>
              </w:tabs>
              <w:spacing w:after="0" w:line="240" w:lineRule="auto"/>
              <w:ind w:right="-6"/>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Akmens plāksne (izmērs, platums 30 cm, augstums 20 cm) ar apbedīto personu datiem uzstādīšana</w:t>
            </w:r>
          </w:p>
        </w:tc>
        <w:tc>
          <w:tcPr>
            <w:tcW w:w="1259"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gab.</w:t>
            </w:r>
          </w:p>
        </w:tc>
        <w:tc>
          <w:tcPr>
            <w:tcW w:w="867" w:type="dxa"/>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c>
          <w:tcPr>
            <w:tcW w:w="1543"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r w:rsidRPr="00401F02">
              <w:rPr>
                <w:rFonts w:ascii="Times New Roman" w:eastAsia="Calibri" w:hAnsi="Times New Roman" w:cs="Times New Roman"/>
                <w:sz w:val="24"/>
                <w:szCs w:val="24"/>
              </w:rPr>
              <w:t>1</w:t>
            </w:r>
          </w:p>
        </w:tc>
        <w:tc>
          <w:tcPr>
            <w:tcW w:w="1276" w:type="dxa"/>
            <w:vAlign w:val="center"/>
          </w:tcPr>
          <w:p w:rsidR="00401F02" w:rsidRPr="00401F02" w:rsidRDefault="00401F02" w:rsidP="00401F02">
            <w:pPr>
              <w:tabs>
                <w:tab w:val="left" w:pos="540"/>
              </w:tabs>
              <w:spacing w:after="0" w:line="240" w:lineRule="auto"/>
              <w:ind w:right="-6"/>
              <w:jc w:val="center"/>
              <w:outlineLvl w:val="0"/>
              <w:rPr>
                <w:rFonts w:ascii="Times New Roman" w:eastAsia="Calibri" w:hAnsi="Times New Roman" w:cs="Times New Roman"/>
                <w:sz w:val="24"/>
                <w:szCs w:val="24"/>
              </w:rPr>
            </w:pPr>
          </w:p>
        </w:tc>
      </w:tr>
      <w:tr w:rsidR="00401F02" w:rsidRPr="00401F02" w:rsidTr="00213AC3">
        <w:trPr>
          <w:trHeight w:val="223"/>
          <w:jc w:val="center"/>
        </w:trPr>
        <w:tc>
          <w:tcPr>
            <w:tcW w:w="8217" w:type="dxa"/>
            <w:gridSpan w:val="5"/>
            <w:vAlign w:val="center"/>
          </w:tcPr>
          <w:p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r w:rsidRPr="00401F02">
              <w:rPr>
                <w:rFonts w:ascii="Times New Roman" w:eastAsia="Calibri" w:hAnsi="Times New Roman" w:cs="Times New Roman"/>
                <w:b/>
                <w:sz w:val="24"/>
                <w:szCs w:val="24"/>
              </w:rPr>
              <w:t>Kopējā līgumcena bez PVN:</w:t>
            </w:r>
          </w:p>
        </w:tc>
        <w:tc>
          <w:tcPr>
            <w:tcW w:w="1276" w:type="dxa"/>
          </w:tcPr>
          <w:p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p>
        </w:tc>
      </w:tr>
      <w:tr w:rsidR="00401F02" w:rsidRPr="00401F02" w:rsidTr="00213AC3">
        <w:trPr>
          <w:trHeight w:val="223"/>
          <w:jc w:val="center"/>
        </w:trPr>
        <w:tc>
          <w:tcPr>
            <w:tcW w:w="8217" w:type="dxa"/>
            <w:gridSpan w:val="5"/>
            <w:vAlign w:val="center"/>
          </w:tcPr>
          <w:p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PVN:</w:t>
            </w:r>
          </w:p>
        </w:tc>
        <w:tc>
          <w:tcPr>
            <w:tcW w:w="1276" w:type="dxa"/>
          </w:tcPr>
          <w:p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p>
        </w:tc>
      </w:tr>
      <w:tr w:rsidR="00401F02" w:rsidRPr="00401F02" w:rsidTr="00213AC3">
        <w:trPr>
          <w:trHeight w:val="223"/>
          <w:jc w:val="center"/>
        </w:trPr>
        <w:tc>
          <w:tcPr>
            <w:tcW w:w="8217" w:type="dxa"/>
            <w:gridSpan w:val="5"/>
            <w:vAlign w:val="center"/>
          </w:tcPr>
          <w:p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Kopsumma ar PVN:</w:t>
            </w:r>
          </w:p>
        </w:tc>
        <w:tc>
          <w:tcPr>
            <w:tcW w:w="1276" w:type="dxa"/>
          </w:tcPr>
          <w:p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sz w:val="24"/>
                <w:szCs w:val="24"/>
              </w:rPr>
            </w:pPr>
          </w:p>
        </w:tc>
      </w:tr>
    </w:tbl>
    <w:p w:rsidR="00401F02" w:rsidRPr="00401F02" w:rsidRDefault="00401F02" w:rsidP="00401F02">
      <w:pPr>
        <w:tabs>
          <w:tab w:val="left" w:pos="540"/>
        </w:tabs>
        <w:spacing w:after="0" w:line="240" w:lineRule="auto"/>
        <w:ind w:right="-6"/>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*norādītie apjomi ir orientējoši un tie var mainīties līguma izpildes laikā</w:t>
      </w:r>
    </w:p>
    <w:p w:rsidR="00401F02" w:rsidRPr="00401F02" w:rsidRDefault="00401F02" w:rsidP="00401F02">
      <w:pPr>
        <w:tabs>
          <w:tab w:val="left" w:pos="540"/>
        </w:tabs>
        <w:spacing w:after="0" w:line="240" w:lineRule="auto"/>
        <w:ind w:right="-6"/>
        <w:jc w:val="right"/>
        <w:outlineLvl w:val="0"/>
        <w:rPr>
          <w:rFonts w:ascii="Times New Roman" w:eastAsia="Calibri" w:hAnsi="Times New Roman" w:cs="Times New Roman"/>
          <w:b/>
          <w:sz w:val="24"/>
          <w:szCs w:val="24"/>
        </w:rPr>
      </w:pPr>
    </w:p>
    <w:p w:rsidR="00401F02" w:rsidRPr="00401F02" w:rsidRDefault="00401F02" w:rsidP="00401F02">
      <w:pPr>
        <w:numPr>
          <w:ilvl w:val="0"/>
          <w:numId w:val="1"/>
        </w:numPr>
        <w:spacing w:after="0" w:line="240" w:lineRule="auto"/>
        <w:ind w:left="284" w:right="-6" w:hanging="284"/>
        <w:contextualSpacing/>
        <w:jc w:val="both"/>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Līgumcenā iekļauti visi Latvijas Republikas normatīvajos aktos paredzētie nodokļi un maksājumi, neieskaitot  PVN, kā arī visi izdevumi, kas nepieciešami Līgumā noteikto saistību izpildei.</w:t>
      </w:r>
    </w:p>
    <w:p w:rsidR="00401F02" w:rsidRPr="00401F02" w:rsidRDefault="00401F02" w:rsidP="00401F02">
      <w:pPr>
        <w:numPr>
          <w:ilvl w:val="0"/>
          <w:numId w:val="1"/>
        </w:numPr>
        <w:spacing w:after="0" w:line="240" w:lineRule="auto"/>
        <w:ind w:left="284" w:right="-6" w:hanging="284"/>
        <w:contextualSpacing/>
        <w:jc w:val="both"/>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 xml:space="preserve">Mūsu piedāvājumā ir iekļautas visas nepieciešamās izmaksas, kas nodrošina par </w:t>
      </w:r>
      <w:proofErr w:type="spellStart"/>
      <w:r w:rsidRPr="00401F02">
        <w:rPr>
          <w:rFonts w:ascii="Times New Roman" w:eastAsia="Calibri" w:hAnsi="Times New Roman" w:cs="Times New Roman"/>
          <w:b/>
          <w:sz w:val="24"/>
          <w:szCs w:val="24"/>
        </w:rPr>
        <w:t>bezpiederīgajiem</w:t>
      </w:r>
      <w:proofErr w:type="spellEnd"/>
      <w:r w:rsidRPr="00401F02">
        <w:rPr>
          <w:rFonts w:ascii="Times New Roman" w:eastAsia="Calibri" w:hAnsi="Times New Roman" w:cs="Times New Roman"/>
          <w:b/>
          <w:sz w:val="24"/>
          <w:szCs w:val="24"/>
        </w:rPr>
        <w:t xml:space="preserve"> atzīto mirušo un nezināmo personu, apbedīšanas pakalpojuma sniegšanu saskaņā ar tehniskajās specifikācijās norādītajām prasībām.</w:t>
      </w:r>
    </w:p>
    <w:p w:rsidR="00401F02" w:rsidRPr="00401F02" w:rsidRDefault="00401F02" w:rsidP="00401F02">
      <w:pPr>
        <w:numPr>
          <w:ilvl w:val="0"/>
          <w:numId w:val="1"/>
        </w:numPr>
        <w:spacing w:after="0" w:line="240" w:lineRule="auto"/>
        <w:ind w:left="284" w:right="-6" w:hanging="284"/>
        <w:contextualSpacing/>
        <w:jc w:val="both"/>
        <w:outlineLvl w:val="0"/>
        <w:rPr>
          <w:rFonts w:ascii="Times New Roman" w:eastAsia="Calibri" w:hAnsi="Times New Roman" w:cs="Times New Roman"/>
          <w:b/>
          <w:sz w:val="24"/>
          <w:szCs w:val="24"/>
        </w:rPr>
      </w:pPr>
      <w:r w:rsidRPr="00401F02">
        <w:rPr>
          <w:rFonts w:ascii="Times New Roman" w:eastAsia="Calibri" w:hAnsi="Times New Roman" w:cs="Times New Roman"/>
          <w:b/>
          <w:sz w:val="24"/>
          <w:szCs w:val="24"/>
        </w:rPr>
        <w:t>Apņemamies 10 darba dienu laikā pēc “Talsu novada bezpiederīgo mirušo apbedīšanas pakalpojuma sniegšanu un kapavietu labiekārtošana” cenu aptaujas rezultātā noslēgtā līguma stāšanās brīža Talsu novada Sociālajā dienestā iesniegt dokumentus, par to, ka Pasūtītajam tiks nodrošināts kremācijas pakalpojums atbilstoši Ministru kabineta 2010. gada 29. jūnija noteikumiem Nr. 600 “Kremācijas noteikumi”.</w:t>
      </w:r>
    </w:p>
    <w:p w:rsidR="00401F02" w:rsidRPr="00401F02" w:rsidRDefault="00401F02" w:rsidP="00401F02">
      <w:pPr>
        <w:tabs>
          <w:tab w:val="left" w:pos="0"/>
        </w:tabs>
        <w:spacing w:after="0" w:line="240" w:lineRule="auto"/>
        <w:ind w:right="-6" w:firstLine="567"/>
        <w:jc w:val="right"/>
        <w:outlineLvl w:val="0"/>
        <w:rPr>
          <w:rFonts w:ascii="Times New Roman" w:eastAsia="Calibri" w:hAnsi="Times New Roman" w:cs="Times New Roman"/>
          <w:sz w:val="24"/>
          <w:szCs w:val="24"/>
        </w:rPr>
      </w:pPr>
    </w:p>
    <w:tbl>
      <w:tblPr>
        <w:tblW w:w="4981"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2283"/>
        <w:gridCol w:w="7111"/>
      </w:tblGrid>
      <w:tr w:rsidR="001A6B44" w:rsidRPr="00E922A3" w:rsidTr="000E30C6">
        <w:trPr>
          <w:trHeight w:val="154"/>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tcPr>
          <w:p w:rsidR="001A6B44" w:rsidRPr="00E922A3" w:rsidRDefault="001A6B44" w:rsidP="000E30C6">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Vārds, uzvārds:</w:t>
            </w:r>
          </w:p>
        </w:tc>
        <w:tc>
          <w:tcPr>
            <w:tcW w:w="3785" w:type="pct"/>
            <w:tcBorders>
              <w:top w:val="single" w:sz="6" w:space="0" w:color="auto"/>
              <w:left w:val="single" w:sz="6" w:space="0" w:color="auto"/>
              <w:bottom w:val="single" w:sz="6" w:space="0" w:color="auto"/>
              <w:right w:val="single" w:sz="6" w:space="0" w:color="auto"/>
            </w:tcBorders>
            <w:vAlign w:val="center"/>
          </w:tcPr>
          <w:p w:rsidR="001A6B44" w:rsidRPr="00E922A3" w:rsidRDefault="001A6B44" w:rsidP="000E30C6">
            <w:pPr>
              <w:suppressAutoHyphens/>
              <w:spacing w:after="0" w:line="240" w:lineRule="auto"/>
              <w:rPr>
                <w:rFonts w:ascii="Times New Roman" w:eastAsia="Times New Roman" w:hAnsi="Times New Roman" w:cs="Times New Roman"/>
                <w:i/>
                <w:iCs/>
                <w:lang w:eastAsia="ar-SA"/>
              </w:rPr>
            </w:pPr>
          </w:p>
        </w:tc>
      </w:tr>
      <w:tr w:rsidR="001A6B44" w:rsidRPr="00E922A3" w:rsidTr="000E30C6">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tcPr>
          <w:p w:rsidR="001A6B44" w:rsidRPr="00E922A3" w:rsidRDefault="001A6B44" w:rsidP="000E30C6">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Amats:</w:t>
            </w:r>
          </w:p>
        </w:tc>
        <w:tc>
          <w:tcPr>
            <w:tcW w:w="3785" w:type="pct"/>
            <w:tcBorders>
              <w:top w:val="single" w:sz="6" w:space="0" w:color="auto"/>
              <w:left w:val="single" w:sz="6" w:space="0" w:color="auto"/>
              <w:bottom w:val="single" w:sz="6" w:space="0" w:color="auto"/>
              <w:right w:val="single" w:sz="6" w:space="0" w:color="auto"/>
            </w:tcBorders>
            <w:vAlign w:val="center"/>
          </w:tcPr>
          <w:p w:rsidR="001A6B44" w:rsidRPr="00E922A3" w:rsidRDefault="001A6B44" w:rsidP="000E30C6">
            <w:pPr>
              <w:suppressAutoHyphens/>
              <w:spacing w:after="0" w:line="240" w:lineRule="auto"/>
              <w:rPr>
                <w:rFonts w:ascii="Times New Roman" w:eastAsia="Times New Roman" w:hAnsi="Times New Roman" w:cs="Times New Roman"/>
                <w:lang w:eastAsia="ar-SA"/>
              </w:rPr>
            </w:pPr>
          </w:p>
        </w:tc>
      </w:tr>
      <w:tr w:rsidR="001A6B44" w:rsidRPr="00E922A3" w:rsidTr="000E30C6">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tcPr>
          <w:p w:rsidR="001A6B44" w:rsidRPr="00E922A3" w:rsidRDefault="001A6B44" w:rsidP="000E30C6">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Paraksts:</w:t>
            </w:r>
          </w:p>
        </w:tc>
        <w:tc>
          <w:tcPr>
            <w:tcW w:w="3785" w:type="pct"/>
            <w:tcBorders>
              <w:top w:val="single" w:sz="6" w:space="0" w:color="auto"/>
              <w:left w:val="single" w:sz="6" w:space="0" w:color="auto"/>
              <w:bottom w:val="single" w:sz="6" w:space="0" w:color="auto"/>
              <w:right w:val="single" w:sz="6" w:space="0" w:color="auto"/>
            </w:tcBorders>
            <w:vAlign w:val="center"/>
          </w:tcPr>
          <w:p w:rsidR="001A6B44" w:rsidRPr="00E922A3" w:rsidRDefault="001A6B44" w:rsidP="000E30C6">
            <w:pPr>
              <w:suppressAutoHyphens/>
              <w:spacing w:after="0" w:line="240" w:lineRule="auto"/>
              <w:rPr>
                <w:rFonts w:ascii="Times New Roman" w:eastAsia="Times New Roman" w:hAnsi="Times New Roman" w:cs="Times New Roman"/>
                <w:lang w:eastAsia="ar-SA"/>
              </w:rPr>
            </w:pPr>
          </w:p>
        </w:tc>
      </w:tr>
      <w:tr w:rsidR="001A6B44" w:rsidRPr="00E922A3" w:rsidTr="000E30C6">
        <w:trPr>
          <w:trHeight w:val="48"/>
        </w:trPr>
        <w:tc>
          <w:tcPr>
            <w:tcW w:w="1215" w:type="pct"/>
            <w:tcBorders>
              <w:top w:val="single" w:sz="6" w:space="0" w:color="auto"/>
              <w:left w:val="single" w:sz="6" w:space="0" w:color="auto"/>
              <w:bottom w:val="single" w:sz="6" w:space="0" w:color="auto"/>
              <w:right w:val="single" w:sz="6" w:space="0" w:color="auto"/>
            </w:tcBorders>
            <w:shd w:val="pct5" w:color="auto" w:fill="FFFFFF"/>
            <w:vAlign w:val="center"/>
          </w:tcPr>
          <w:p w:rsidR="001A6B44" w:rsidRPr="00E922A3" w:rsidRDefault="001A6B44" w:rsidP="000E30C6">
            <w:pPr>
              <w:suppressAutoHyphens/>
              <w:spacing w:after="0" w:line="240" w:lineRule="auto"/>
              <w:jc w:val="both"/>
              <w:rPr>
                <w:rFonts w:ascii="Times New Roman" w:eastAsia="Times New Roman" w:hAnsi="Times New Roman" w:cs="Times New Roman"/>
                <w:b/>
                <w:bCs/>
                <w:lang w:eastAsia="ar-SA"/>
              </w:rPr>
            </w:pPr>
            <w:r w:rsidRPr="00E922A3">
              <w:rPr>
                <w:rFonts w:ascii="Times New Roman" w:eastAsia="Times New Roman" w:hAnsi="Times New Roman" w:cs="Times New Roman"/>
                <w:b/>
                <w:bCs/>
                <w:lang w:eastAsia="ar-SA"/>
              </w:rPr>
              <w:t>Datums:</w:t>
            </w:r>
          </w:p>
        </w:tc>
        <w:tc>
          <w:tcPr>
            <w:tcW w:w="3785" w:type="pct"/>
            <w:tcBorders>
              <w:top w:val="single" w:sz="6" w:space="0" w:color="auto"/>
              <w:left w:val="single" w:sz="6" w:space="0" w:color="auto"/>
              <w:bottom w:val="single" w:sz="6" w:space="0" w:color="auto"/>
              <w:right w:val="single" w:sz="6" w:space="0" w:color="auto"/>
            </w:tcBorders>
            <w:vAlign w:val="center"/>
          </w:tcPr>
          <w:p w:rsidR="001A6B44" w:rsidRPr="00E922A3" w:rsidRDefault="001A6B44" w:rsidP="000E30C6">
            <w:pPr>
              <w:suppressAutoHyphens/>
              <w:spacing w:after="0" w:line="240" w:lineRule="auto"/>
              <w:rPr>
                <w:rFonts w:ascii="Times New Roman" w:eastAsia="Times New Roman" w:hAnsi="Times New Roman" w:cs="Times New Roman"/>
                <w:lang w:eastAsia="ar-SA"/>
              </w:rPr>
            </w:pPr>
          </w:p>
        </w:tc>
      </w:tr>
    </w:tbl>
    <w:p w:rsidR="00401F02" w:rsidRPr="00401F02" w:rsidRDefault="00401F02" w:rsidP="00401F02">
      <w:pPr>
        <w:spacing w:after="0" w:line="240" w:lineRule="auto"/>
        <w:contextualSpacing/>
        <w:jc w:val="both"/>
        <w:rPr>
          <w:rFonts w:ascii="Times New Roman" w:eastAsia="Calibri" w:hAnsi="Times New Roman" w:cs="Times New Roman"/>
          <w:b/>
          <w:sz w:val="20"/>
          <w:szCs w:val="20"/>
        </w:rPr>
      </w:pPr>
    </w:p>
    <w:p w:rsidR="00BA4820" w:rsidRDefault="00BA4820"/>
    <w:sectPr w:rsidR="00BA4820" w:rsidSect="00401F02">
      <w:pgSz w:w="11906" w:h="16838"/>
      <w:pgMar w:top="709" w:right="991"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A1AE1"/>
    <w:multiLevelType w:val="hybridMultilevel"/>
    <w:tmpl w:val="E47295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F02"/>
    <w:rsid w:val="001A6B44"/>
    <w:rsid w:val="00213AC3"/>
    <w:rsid w:val="00401F02"/>
    <w:rsid w:val="00415FE1"/>
    <w:rsid w:val="005018F1"/>
    <w:rsid w:val="00A30209"/>
    <w:rsid w:val="00BA4820"/>
    <w:rsid w:val="00D2420A"/>
    <w:rsid w:val="00E76C41"/>
    <w:rsid w:val="00F63C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C16C8"/>
  <w15:docId w15:val="{A04838F9-B92B-447F-B3B7-49157C72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40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57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1945</Words>
  <Characters>1110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Horste</dc:creator>
  <cp:lastModifiedBy>Jana Horste</cp:lastModifiedBy>
  <cp:revision>3</cp:revision>
  <dcterms:created xsi:type="dcterms:W3CDTF">2022-03-03T07:31:00Z</dcterms:created>
  <dcterms:modified xsi:type="dcterms:W3CDTF">2022-03-03T08:02:00Z</dcterms:modified>
</cp:coreProperties>
</file>