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A0F" w:rsidRPr="00C70A0F" w:rsidRDefault="00C70A0F" w:rsidP="00C70A0F">
      <w:pPr>
        <w:spacing w:after="0" w:line="240" w:lineRule="auto"/>
        <w:ind w:left="720"/>
        <w:contextualSpacing/>
        <w:jc w:val="right"/>
        <w:rPr>
          <w:rFonts w:ascii="Times New Roman" w:eastAsia="Calibri" w:hAnsi="Times New Roman" w:cs="Times New Roman"/>
          <w:sz w:val="24"/>
          <w:szCs w:val="24"/>
        </w:rPr>
      </w:pPr>
      <w:r>
        <w:rPr>
          <w:rFonts w:ascii="Times New Roman" w:eastAsia="Calibri" w:hAnsi="Times New Roman" w:cs="Times New Roman"/>
          <w:sz w:val="24"/>
          <w:szCs w:val="24"/>
        </w:rPr>
        <w:t>3</w:t>
      </w:r>
      <w:r w:rsidRPr="00C70A0F">
        <w:rPr>
          <w:rFonts w:ascii="Times New Roman" w:eastAsia="Calibri" w:hAnsi="Times New Roman" w:cs="Times New Roman"/>
          <w:sz w:val="24"/>
          <w:szCs w:val="24"/>
        </w:rPr>
        <w:t>. pielikums</w:t>
      </w:r>
    </w:p>
    <w:p w:rsidR="00C70A0F" w:rsidRPr="00C70A0F" w:rsidRDefault="00C70A0F" w:rsidP="00C70A0F">
      <w:pPr>
        <w:spacing w:after="0" w:line="240" w:lineRule="auto"/>
        <w:ind w:left="720"/>
        <w:contextualSpacing/>
        <w:jc w:val="right"/>
        <w:rPr>
          <w:rFonts w:ascii="Times New Roman" w:eastAsia="Calibri" w:hAnsi="Times New Roman" w:cs="Times New Roman"/>
          <w:sz w:val="24"/>
          <w:szCs w:val="24"/>
        </w:rPr>
      </w:pPr>
      <w:r w:rsidRPr="00C70A0F">
        <w:rPr>
          <w:rFonts w:ascii="Times New Roman" w:eastAsia="Calibri" w:hAnsi="Times New Roman" w:cs="Times New Roman"/>
          <w:sz w:val="24"/>
          <w:szCs w:val="24"/>
        </w:rPr>
        <w:t xml:space="preserve">Cenu aptaujai “Talsu novada pašvaldības autotransporta virsbūvju </w:t>
      </w:r>
    </w:p>
    <w:p w:rsidR="00C70A0F" w:rsidRDefault="00C70A0F" w:rsidP="00C70A0F">
      <w:pPr>
        <w:spacing w:after="120" w:line="240" w:lineRule="auto"/>
        <w:ind w:right="-1"/>
        <w:contextualSpacing/>
        <w:jc w:val="right"/>
        <w:rPr>
          <w:rFonts w:ascii="Times New Roman" w:eastAsia="Calibri" w:hAnsi="Times New Roman" w:cs="Times New Roman"/>
          <w:sz w:val="24"/>
          <w:szCs w:val="24"/>
        </w:rPr>
      </w:pPr>
      <w:r w:rsidRPr="00C70A0F">
        <w:rPr>
          <w:rFonts w:ascii="Times New Roman" w:eastAsia="Calibri" w:hAnsi="Times New Roman" w:cs="Times New Roman"/>
          <w:sz w:val="24"/>
          <w:szCs w:val="24"/>
        </w:rPr>
        <w:t xml:space="preserve">mazgāšana un tīrīšana”, </w:t>
      </w:r>
      <w:r w:rsidRPr="00E13330">
        <w:rPr>
          <w:rFonts w:ascii="Times New Roman" w:eastAsia="Calibri" w:hAnsi="Times New Roman" w:cs="Times New Roman"/>
          <w:sz w:val="24"/>
          <w:szCs w:val="24"/>
        </w:rPr>
        <w:t xml:space="preserve">identifikācijas Nr. </w:t>
      </w:r>
      <w:proofErr w:type="spellStart"/>
      <w:r w:rsidRPr="00E13330">
        <w:rPr>
          <w:rFonts w:ascii="Times New Roman" w:eastAsia="Calibri" w:hAnsi="Times New Roman" w:cs="Times New Roman"/>
          <w:sz w:val="24"/>
          <w:szCs w:val="24"/>
        </w:rPr>
        <w:t>TNPz</w:t>
      </w:r>
      <w:proofErr w:type="spellEnd"/>
      <w:r w:rsidRPr="00E13330">
        <w:rPr>
          <w:rFonts w:ascii="Times New Roman" w:eastAsia="Calibri" w:hAnsi="Times New Roman" w:cs="Times New Roman"/>
          <w:sz w:val="24"/>
          <w:szCs w:val="24"/>
        </w:rPr>
        <w:t xml:space="preserve"> 2022/</w:t>
      </w:r>
      <w:r w:rsidR="00E13330" w:rsidRPr="00E13330">
        <w:rPr>
          <w:rFonts w:ascii="Times New Roman" w:eastAsia="Calibri" w:hAnsi="Times New Roman" w:cs="Times New Roman"/>
          <w:sz w:val="24"/>
          <w:szCs w:val="24"/>
        </w:rPr>
        <w:t>34</w:t>
      </w:r>
    </w:p>
    <w:p w:rsidR="00C70A0F" w:rsidRDefault="00C70A0F" w:rsidP="00C70A0F">
      <w:pPr>
        <w:spacing w:after="120" w:line="240" w:lineRule="auto"/>
        <w:ind w:right="-1"/>
        <w:contextualSpacing/>
        <w:jc w:val="both"/>
        <w:rPr>
          <w:rFonts w:ascii="Times New Roman" w:eastAsia="Times New Roman" w:hAnsi="Times New Roman" w:cs="Times New Roman"/>
          <w:b/>
          <w:sz w:val="24"/>
          <w:szCs w:val="24"/>
        </w:rPr>
      </w:pPr>
    </w:p>
    <w:p w:rsidR="00C70A0F" w:rsidRDefault="00C70A0F" w:rsidP="00C70A0F">
      <w:pPr>
        <w:spacing w:after="0" w:line="240" w:lineRule="auto"/>
        <w:ind w:right="43"/>
        <w:jc w:val="center"/>
        <w:rPr>
          <w:rFonts w:ascii="Times New Roman" w:eastAsia="Times New Roman" w:hAnsi="Times New Roman" w:cs="Times New Roman"/>
          <w:b/>
          <w:sz w:val="24"/>
          <w:szCs w:val="24"/>
        </w:rPr>
      </w:pPr>
      <w:r w:rsidRPr="00C70A0F">
        <w:rPr>
          <w:rFonts w:ascii="Times New Roman" w:eastAsia="Times New Roman" w:hAnsi="Times New Roman" w:cs="Times New Roman"/>
          <w:b/>
          <w:sz w:val="24"/>
          <w:szCs w:val="24"/>
        </w:rPr>
        <w:t>TEHNISKĀ SPECIFIKĀCIJA UN TEHNISKAIS PIEDĀVĀJUMS</w:t>
      </w:r>
    </w:p>
    <w:p w:rsidR="00C70A0F" w:rsidRDefault="00C70A0F" w:rsidP="00C70A0F">
      <w:pPr>
        <w:spacing w:after="120" w:line="240" w:lineRule="auto"/>
        <w:ind w:right="-1"/>
        <w:contextualSpacing/>
        <w:jc w:val="both"/>
        <w:rPr>
          <w:rFonts w:ascii="Times New Roman" w:eastAsia="Times New Roman" w:hAnsi="Times New Roman" w:cs="Times New Roman"/>
          <w:b/>
          <w:sz w:val="24"/>
          <w:szCs w:val="24"/>
        </w:rPr>
      </w:pPr>
    </w:p>
    <w:p w:rsidR="00C70A0F" w:rsidRPr="00C70A0F" w:rsidRDefault="00C70A0F" w:rsidP="00C70A0F">
      <w:pPr>
        <w:spacing w:after="120" w:line="240" w:lineRule="auto"/>
        <w:ind w:left="-567" w:right="-1"/>
        <w:contextualSpacing/>
        <w:jc w:val="both"/>
        <w:rPr>
          <w:rFonts w:ascii="Times New Roman" w:eastAsia="Times New Roman" w:hAnsi="Times New Roman" w:cs="Times New Roman"/>
          <w:b/>
          <w:sz w:val="24"/>
          <w:szCs w:val="24"/>
        </w:rPr>
      </w:pPr>
      <w:r w:rsidRPr="00C70A0F">
        <w:rPr>
          <w:rFonts w:ascii="Times New Roman" w:eastAsia="Times New Roman" w:hAnsi="Times New Roman" w:cs="Times New Roman"/>
          <w:b/>
          <w:sz w:val="24"/>
          <w:szCs w:val="24"/>
        </w:rPr>
        <w:t>Iepirkuma priekšmeta 2. daļai –  Transportlīdzekļu mazgāšana pašapkalpošanās stacijā</w:t>
      </w:r>
      <w:r w:rsidRPr="00C70A0F">
        <w:rPr>
          <w:rFonts w:ascii="Times New Roman" w:eastAsia="Times New Roman" w:hAnsi="Times New Roman" w:cs="Times New Roman"/>
          <w:b/>
          <w:bCs/>
          <w:sz w:val="24"/>
          <w:szCs w:val="24"/>
        </w:rPr>
        <w:t xml:space="preserve">. </w:t>
      </w:r>
      <w:r w:rsidRPr="00C70A0F">
        <w:rPr>
          <w:rFonts w:ascii="Times New Roman" w:eastAsia="Calibri" w:hAnsi="Times New Roman" w:cs="Times New Roman"/>
          <w:b/>
          <w:i/>
          <w:iCs/>
          <w:u w:val="single"/>
        </w:rPr>
        <w:t>Minimālās prasības pakalpojuma nodrošināšanai.</w:t>
      </w:r>
    </w:p>
    <w:tbl>
      <w:tblPr>
        <w:tblStyle w:val="Reatabula"/>
        <w:tblW w:w="9781" w:type="dxa"/>
        <w:tblInd w:w="-572" w:type="dxa"/>
        <w:tblLook w:val="04A0" w:firstRow="1" w:lastRow="0" w:firstColumn="1" w:lastColumn="0" w:noHBand="0" w:noVBand="1"/>
      </w:tblPr>
      <w:tblGrid>
        <w:gridCol w:w="696"/>
        <w:gridCol w:w="5683"/>
        <w:gridCol w:w="3402"/>
      </w:tblGrid>
      <w:tr w:rsidR="00C70A0F" w:rsidRPr="00C70A0F" w:rsidTr="00390221">
        <w:tc>
          <w:tcPr>
            <w:tcW w:w="696" w:type="dxa"/>
          </w:tcPr>
          <w:p w:rsidR="00C70A0F" w:rsidRPr="00C70A0F" w:rsidRDefault="00C70A0F" w:rsidP="00C70A0F">
            <w:pPr>
              <w:rPr>
                <w:rFonts w:eastAsia="Calibri"/>
                <w:b/>
                <w:sz w:val="24"/>
                <w:szCs w:val="24"/>
                <w:lang w:eastAsia="ar-SA"/>
              </w:rPr>
            </w:pPr>
            <w:r w:rsidRPr="00C70A0F">
              <w:rPr>
                <w:rFonts w:eastAsia="Calibri"/>
                <w:b/>
                <w:sz w:val="24"/>
                <w:szCs w:val="24"/>
                <w:lang w:eastAsia="ar-SA"/>
              </w:rPr>
              <w:t xml:space="preserve">Nr. </w:t>
            </w:r>
          </w:p>
          <w:p w:rsidR="00C70A0F" w:rsidRPr="00C70A0F" w:rsidRDefault="00C70A0F" w:rsidP="00C70A0F">
            <w:pPr>
              <w:rPr>
                <w:rFonts w:eastAsia="Calibri"/>
                <w:sz w:val="24"/>
                <w:szCs w:val="24"/>
              </w:rPr>
            </w:pPr>
            <w:r w:rsidRPr="00C70A0F">
              <w:rPr>
                <w:rFonts w:eastAsia="Calibri"/>
                <w:b/>
                <w:sz w:val="24"/>
                <w:szCs w:val="24"/>
                <w:lang w:eastAsia="ar-SA"/>
              </w:rPr>
              <w:t>p.k.</w:t>
            </w:r>
          </w:p>
        </w:tc>
        <w:tc>
          <w:tcPr>
            <w:tcW w:w="5683" w:type="dxa"/>
            <w:vAlign w:val="center"/>
          </w:tcPr>
          <w:p w:rsidR="00C70A0F" w:rsidRPr="00C70A0F" w:rsidRDefault="00C70A0F" w:rsidP="00C70A0F">
            <w:pPr>
              <w:jc w:val="center"/>
              <w:rPr>
                <w:rFonts w:eastAsia="Calibri"/>
                <w:sz w:val="24"/>
                <w:szCs w:val="24"/>
              </w:rPr>
            </w:pPr>
            <w:r w:rsidRPr="00C70A0F">
              <w:rPr>
                <w:rFonts w:eastAsia="Calibri"/>
                <w:b/>
                <w:bCs/>
                <w:sz w:val="24"/>
                <w:szCs w:val="24"/>
                <w:lang w:eastAsia="ar-SA"/>
              </w:rPr>
              <w:t>Pasūtītāja prasības</w:t>
            </w:r>
          </w:p>
        </w:tc>
        <w:tc>
          <w:tcPr>
            <w:tcW w:w="3402" w:type="dxa"/>
          </w:tcPr>
          <w:p w:rsidR="00C70A0F" w:rsidRPr="00C70A0F" w:rsidRDefault="00C70A0F" w:rsidP="00C70A0F">
            <w:pPr>
              <w:jc w:val="center"/>
              <w:rPr>
                <w:rFonts w:eastAsia="Calibri"/>
                <w:b/>
                <w:sz w:val="24"/>
                <w:szCs w:val="24"/>
              </w:rPr>
            </w:pPr>
            <w:r w:rsidRPr="00C70A0F">
              <w:rPr>
                <w:rFonts w:eastAsia="Calibri"/>
                <w:b/>
                <w:sz w:val="24"/>
                <w:szCs w:val="24"/>
              </w:rPr>
              <w:t>Pretendenta piedāvātais</w:t>
            </w:r>
          </w:p>
          <w:p w:rsidR="00C70A0F" w:rsidRPr="00C70A0F" w:rsidRDefault="00C70A0F" w:rsidP="00C70A0F">
            <w:pPr>
              <w:jc w:val="center"/>
              <w:rPr>
                <w:rFonts w:eastAsia="Calibri"/>
                <w:bCs/>
                <w:sz w:val="24"/>
                <w:szCs w:val="24"/>
              </w:rPr>
            </w:pPr>
            <w:r w:rsidRPr="00C70A0F">
              <w:rPr>
                <w:rFonts w:eastAsia="Calibri"/>
                <w:bCs/>
                <w:sz w:val="24"/>
                <w:szCs w:val="24"/>
              </w:rPr>
              <w:t>(aizpilda pretendents</w:t>
            </w:r>
            <w:r w:rsidRPr="00C70A0F">
              <w:rPr>
                <w:rFonts w:eastAsia="Calibri"/>
                <w:bCs/>
                <w:sz w:val="24"/>
                <w:szCs w:val="24"/>
                <w:vertAlign w:val="superscript"/>
              </w:rPr>
              <w:footnoteReference w:id="1"/>
            </w:r>
            <w:r w:rsidRPr="00C70A0F">
              <w:rPr>
                <w:rFonts w:eastAsia="Calibri"/>
                <w:bCs/>
                <w:sz w:val="24"/>
                <w:szCs w:val="24"/>
              </w:rPr>
              <w:t xml:space="preserve"> )</w:t>
            </w:r>
          </w:p>
        </w:tc>
      </w:tr>
      <w:tr w:rsidR="00C70A0F" w:rsidRPr="00C70A0F" w:rsidTr="00390221">
        <w:tc>
          <w:tcPr>
            <w:tcW w:w="696" w:type="dxa"/>
          </w:tcPr>
          <w:p w:rsidR="00C70A0F" w:rsidRPr="00C70A0F" w:rsidRDefault="00C70A0F" w:rsidP="00C70A0F">
            <w:pPr>
              <w:jc w:val="center"/>
              <w:rPr>
                <w:rFonts w:eastAsia="Calibri"/>
                <w:b/>
                <w:sz w:val="24"/>
                <w:szCs w:val="24"/>
                <w:lang w:eastAsia="ar-SA"/>
              </w:rPr>
            </w:pPr>
            <w:r w:rsidRPr="00C70A0F">
              <w:rPr>
                <w:rFonts w:eastAsia="Calibri"/>
                <w:b/>
                <w:sz w:val="24"/>
                <w:szCs w:val="24"/>
                <w:lang w:eastAsia="ar-SA"/>
              </w:rPr>
              <w:t>1.</w:t>
            </w:r>
          </w:p>
        </w:tc>
        <w:tc>
          <w:tcPr>
            <w:tcW w:w="5683" w:type="dxa"/>
          </w:tcPr>
          <w:p w:rsidR="00C70A0F" w:rsidRPr="00C70A0F" w:rsidRDefault="00C70A0F" w:rsidP="00C70A0F">
            <w:pPr>
              <w:jc w:val="both"/>
              <w:rPr>
                <w:rFonts w:eastAsia="Calibri"/>
                <w:sz w:val="24"/>
                <w:szCs w:val="24"/>
              </w:rPr>
            </w:pPr>
            <w:r w:rsidRPr="00C70A0F">
              <w:rPr>
                <w:rFonts w:eastAsia="Calibri"/>
                <w:sz w:val="24"/>
                <w:szCs w:val="24"/>
              </w:rPr>
              <w:t>Pretendents ir pakalpojuma sniedzējs, kurš ir iesniedzis piedāvājumu. Pakalpojuma sniedzējs var būt fiziskā vai juridiskā persona vai šādu personu apvienība jebkurā to kombinācijā, kas attiecīgi piedāvā piegādāt preces vai sniegt pakalpojumus.</w:t>
            </w:r>
          </w:p>
        </w:tc>
        <w:tc>
          <w:tcPr>
            <w:tcW w:w="3402" w:type="dxa"/>
            <w:vAlign w:val="center"/>
          </w:tcPr>
          <w:p w:rsidR="00C70A0F" w:rsidRPr="00C70A0F" w:rsidRDefault="00C70A0F" w:rsidP="00C70A0F">
            <w:pPr>
              <w:jc w:val="center"/>
              <w:rPr>
                <w:rFonts w:eastAsia="Calibri"/>
                <w:sz w:val="24"/>
                <w:szCs w:val="24"/>
              </w:rPr>
            </w:pPr>
          </w:p>
        </w:tc>
      </w:tr>
      <w:tr w:rsidR="00C70A0F" w:rsidRPr="00C70A0F" w:rsidTr="00390221">
        <w:tc>
          <w:tcPr>
            <w:tcW w:w="696" w:type="dxa"/>
          </w:tcPr>
          <w:p w:rsidR="00C70A0F" w:rsidRPr="00C70A0F" w:rsidRDefault="00C70A0F" w:rsidP="00C70A0F">
            <w:pPr>
              <w:jc w:val="center"/>
              <w:rPr>
                <w:rFonts w:eastAsia="Calibri"/>
                <w:b/>
                <w:sz w:val="24"/>
                <w:szCs w:val="24"/>
                <w:lang w:eastAsia="ar-SA"/>
              </w:rPr>
            </w:pPr>
            <w:r w:rsidRPr="00C70A0F">
              <w:rPr>
                <w:rFonts w:eastAsia="Calibri"/>
                <w:b/>
                <w:sz w:val="24"/>
                <w:szCs w:val="24"/>
                <w:lang w:eastAsia="ar-SA"/>
              </w:rPr>
              <w:t>2.</w:t>
            </w:r>
          </w:p>
        </w:tc>
        <w:tc>
          <w:tcPr>
            <w:tcW w:w="5683" w:type="dxa"/>
          </w:tcPr>
          <w:p w:rsidR="00C70A0F" w:rsidRPr="00C70A0F" w:rsidRDefault="00C70A0F" w:rsidP="00C70A0F">
            <w:pPr>
              <w:tabs>
                <w:tab w:val="left" w:pos="960"/>
              </w:tabs>
              <w:jc w:val="both"/>
              <w:rPr>
                <w:rFonts w:eastAsia="Calibri"/>
                <w:sz w:val="24"/>
                <w:szCs w:val="24"/>
              </w:rPr>
            </w:pPr>
            <w:r w:rsidRPr="00C70A0F">
              <w:rPr>
                <w:rFonts w:eastAsia="Calibri"/>
                <w:sz w:val="24"/>
                <w:szCs w:val="24"/>
              </w:rPr>
              <w:t xml:space="preserve">Pretendents </w:t>
            </w:r>
            <w:r w:rsidRPr="00C70A0F">
              <w:rPr>
                <w:sz w:val="24"/>
                <w:szCs w:val="24"/>
              </w:rPr>
              <w:t>garantē, ka tam ir visas normatīvajos aktos noteiktās spēkā esošas licences un atļaujas, kas nepieciešamas pakalpojuma sniegšanai.</w:t>
            </w:r>
          </w:p>
        </w:tc>
        <w:tc>
          <w:tcPr>
            <w:tcW w:w="3402" w:type="dxa"/>
            <w:vAlign w:val="center"/>
          </w:tcPr>
          <w:p w:rsidR="00C70A0F" w:rsidRPr="00C70A0F" w:rsidRDefault="00C70A0F" w:rsidP="00C70A0F">
            <w:pPr>
              <w:jc w:val="center"/>
              <w:rPr>
                <w:rFonts w:eastAsia="Calibri"/>
                <w:sz w:val="24"/>
                <w:szCs w:val="24"/>
              </w:rPr>
            </w:pPr>
          </w:p>
        </w:tc>
      </w:tr>
      <w:tr w:rsidR="00C70A0F" w:rsidRPr="00C70A0F" w:rsidTr="00390221">
        <w:tc>
          <w:tcPr>
            <w:tcW w:w="696" w:type="dxa"/>
            <w:tcBorders>
              <w:bottom w:val="single" w:sz="4" w:space="0" w:color="auto"/>
            </w:tcBorders>
          </w:tcPr>
          <w:p w:rsidR="00C70A0F" w:rsidRPr="00C70A0F" w:rsidRDefault="00C70A0F" w:rsidP="00C70A0F">
            <w:pPr>
              <w:jc w:val="center"/>
              <w:rPr>
                <w:rFonts w:eastAsia="Calibri"/>
                <w:b/>
                <w:sz w:val="24"/>
                <w:szCs w:val="24"/>
                <w:lang w:eastAsia="ar-SA"/>
              </w:rPr>
            </w:pPr>
            <w:r w:rsidRPr="00C70A0F">
              <w:rPr>
                <w:rFonts w:eastAsia="Calibri"/>
                <w:b/>
                <w:sz w:val="24"/>
                <w:szCs w:val="24"/>
                <w:lang w:eastAsia="ar-SA"/>
              </w:rPr>
              <w:t>3.</w:t>
            </w:r>
          </w:p>
        </w:tc>
        <w:tc>
          <w:tcPr>
            <w:tcW w:w="5683" w:type="dxa"/>
            <w:tcBorders>
              <w:bottom w:val="single" w:sz="4" w:space="0" w:color="auto"/>
            </w:tcBorders>
          </w:tcPr>
          <w:p w:rsidR="00C70A0F" w:rsidRPr="00C70A0F" w:rsidRDefault="00C70A0F" w:rsidP="00C70A0F">
            <w:pPr>
              <w:jc w:val="both"/>
              <w:rPr>
                <w:rFonts w:eastAsia="Calibri"/>
                <w:sz w:val="24"/>
                <w:szCs w:val="24"/>
              </w:rPr>
            </w:pPr>
            <w:r w:rsidRPr="00C70A0F">
              <w:rPr>
                <w:rFonts w:eastAsia="Calibri"/>
                <w:sz w:val="24"/>
                <w:szCs w:val="24"/>
              </w:rPr>
              <w:t>Pretendents ir reģistrēts atbilstoši attiecīgās valsts normatīvo aktu prasībām. Pretendents normatīvajos aktos noteiktajā kārtībā ir reģistrēts Komercreģistrā vai līdzvērtīgā reģistrā ārvalstīs.</w:t>
            </w:r>
          </w:p>
        </w:tc>
        <w:tc>
          <w:tcPr>
            <w:tcW w:w="3402" w:type="dxa"/>
            <w:tcBorders>
              <w:bottom w:val="single" w:sz="4" w:space="0" w:color="auto"/>
            </w:tcBorders>
            <w:vAlign w:val="center"/>
          </w:tcPr>
          <w:p w:rsidR="00C70A0F" w:rsidRPr="00C70A0F" w:rsidRDefault="00C70A0F" w:rsidP="00C70A0F">
            <w:pPr>
              <w:jc w:val="center"/>
              <w:rPr>
                <w:rFonts w:eastAsia="Calibri"/>
                <w:sz w:val="24"/>
                <w:szCs w:val="24"/>
              </w:rPr>
            </w:pPr>
          </w:p>
        </w:tc>
      </w:tr>
      <w:tr w:rsidR="00C70A0F" w:rsidRPr="00C70A0F" w:rsidTr="00390221">
        <w:tc>
          <w:tcPr>
            <w:tcW w:w="696" w:type="dxa"/>
          </w:tcPr>
          <w:p w:rsidR="00C70A0F" w:rsidRPr="00C70A0F" w:rsidRDefault="00C70A0F" w:rsidP="00C70A0F">
            <w:pPr>
              <w:jc w:val="center"/>
              <w:rPr>
                <w:rFonts w:eastAsia="Calibri"/>
                <w:b/>
                <w:sz w:val="24"/>
                <w:szCs w:val="24"/>
                <w:lang w:eastAsia="ar-SA"/>
              </w:rPr>
            </w:pPr>
            <w:r w:rsidRPr="00C70A0F">
              <w:rPr>
                <w:rFonts w:eastAsia="Calibri"/>
                <w:b/>
                <w:sz w:val="24"/>
                <w:szCs w:val="24"/>
                <w:lang w:eastAsia="ar-SA"/>
              </w:rPr>
              <w:t>4.</w:t>
            </w:r>
          </w:p>
        </w:tc>
        <w:tc>
          <w:tcPr>
            <w:tcW w:w="9085" w:type="dxa"/>
            <w:gridSpan w:val="2"/>
          </w:tcPr>
          <w:p w:rsidR="00C70A0F" w:rsidRPr="00C70A0F" w:rsidRDefault="00C70A0F" w:rsidP="00C70A0F">
            <w:pPr>
              <w:rPr>
                <w:rFonts w:eastAsia="Calibri"/>
                <w:b/>
                <w:sz w:val="24"/>
                <w:szCs w:val="24"/>
              </w:rPr>
            </w:pPr>
            <w:r w:rsidRPr="00C70A0F">
              <w:rPr>
                <w:rFonts w:eastAsia="Calibri"/>
                <w:b/>
                <w:sz w:val="24"/>
                <w:szCs w:val="24"/>
              </w:rPr>
              <w:t>Pakalpojuma nosacījumi un prasības:</w:t>
            </w:r>
          </w:p>
        </w:tc>
      </w:tr>
      <w:tr w:rsidR="00C70A0F" w:rsidRPr="00C70A0F" w:rsidTr="00390221">
        <w:tc>
          <w:tcPr>
            <w:tcW w:w="696" w:type="dxa"/>
          </w:tcPr>
          <w:p w:rsidR="00C70A0F" w:rsidRPr="00C70A0F" w:rsidRDefault="00C70A0F" w:rsidP="00C70A0F">
            <w:pPr>
              <w:jc w:val="center"/>
              <w:rPr>
                <w:rFonts w:eastAsia="Calibri"/>
                <w:b/>
                <w:sz w:val="24"/>
                <w:szCs w:val="24"/>
                <w:lang w:eastAsia="ar-SA"/>
              </w:rPr>
            </w:pPr>
            <w:r w:rsidRPr="00C70A0F">
              <w:rPr>
                <w:rFonts w:eastAsia="Calibri"/>
                <w:sz w:val="24"/>
                <w:szCs w:val="24"/>
                <w:lang w:eastAsia="ar-SA"/>
              </w:rPr>
              <w:t>4.1.</w:t>
            </w:r>
          </w:p>
        </w:tc>
        <w:tc>
          <w:tcPr>
            <w:tcW w:w="5683" w:type="dxa"/>
          </w:tcPr>
          <w:p w:rsidR="00C70A0F" w:rsidRPr="00C70A0F" w:rsidRDefault="00C70A0F" w:rsidP="00C70A0F">
            <w:pPr>
              <w:jc w:val="both"/>
              <w:rPr>
                <w:rFonts w:eastAsia="Calibri"/>
                <w:bCs/>
                <w:sz w:val="24"/>
                <w:szCs w:val="24"/>
                <w:highlight w:val="yellow"/>
              </w:rPr>
            </w:pPr>
            <w:r w:rsidRPr="00C70A0F">
              <w:rPr>
                <w:rFonts w:eastAsia="Calibri"/>
                <w:sz w:val="24"/>
                <w:szCs w:val="24"/>
              </w:rPr>
              <w:t>Pakalpojuma izpildē izmantojamās ķīmiskās vielas nav kaitīgas cilvēka organismam, veselībai un apkārtējai videi</w:t>
            </w:r>
          </w:p>
        </w:tc>
        <w:tc>
          <w:tcPr>
            <w:tcW w:w="3402" w:type="dxa"/>
          </w:tcPr>
          <w:p w:rsidR="00C70A0F" w:rsidRPr="00C70A0F" w:rsidRDefault="00C70A0F" w:rsidP="00C70A0F">
            <w:pPr>
              <w:jc w:val="both"/>
              <w:rPr>
                <w:rFonts w:eastAsia="Calibri"/>
                <w:sz w:val="24"/>
                <w:szCs w:val="24"/>
              </w:rPr>
            </w:pPr>
          </w:p>
        </w:tc>
      </w:tr>
      <w:tr w:rsidR="00C70A0F" w:rsidRPr="00C70A0F" w:rsidTr="00390221">
        <w:tc>
          <w:tcPr>
            <w:tcW w:w="696" w:type="dxa"/>
          </w:tcPr>
          <w:p w:rsidR="00C70A0F" w:rsidRPr="00C70A0F" w:rsidRDefault="00C70A0F" w:rsidP="00C70A0F">
            <w:pPr>
              <w:suppressAutoHyphens/>
              <w:jc w:val="center"/>
              <w:rPr>
                <w:rFonts w:eastAsia="Calibri"/>
                <w:sz w:val="24"/>
                <w:szCs w:val="24"/>
                <w:lang w:eastAsia="ar-SA"/>
              </w:rPr>
            </w:pPr>
            <w:r w:rsidRPr="00C70A0F">
              <w:rPr>
                <w:rFonts w:eastAsia="Calibri"/>
                <w:sz w:val="24"/>
                <w:szCs w:val="24"/>
                <w:lang w:eastAsia="ar-SA"/>
              </w:rPr>
              <w:t>4.2.</w:t>
            </w:r>
          </w:p>
        </w:tc>
        <w:tc>
          <w:tcPr>
            <w:tcW w:w="5683" w:type="dxa"/>
          </w:tcPr>
          <w:p w:rsidR="00C70A0F" w:rsidRPr="00C70A0F" w:rsidRDefault="00C70A0F" w:rsidP="00C70A0F">
            <w:pPr>
              <w:suppressAutoHyphens/>
              <w:spacing w:after="120"/>
              <w:jc w:val="both"/>
              <w:rPr>
                <w:rFonts w:eastAsia="Calibri"/>
                <w:sz w:val="24"/>
                <w:szCs w:val="24"/>
                <w:lang w:eastAsia="ar-SA"/>
              </w:rPr>
            </w:pPr>
            <w:r w:rsidRPr="00C70A0F">
              <w:rPr>
                <w:rFonts w:eastAsia="Calibri"/>
                <w:sz w:val="24"/>
                <w:szCs w:val="24"/>
              </w:rPr>
              <w:t>Pakalpojums tiek nodrošināts Pretendenta pašapkalpošanās stacijā un</w:t>
            </w:r>
            <w:r w:rsidRPr="00C70A0F">
              <w:rPr>
                <w:rFonts w:eastAsia="Calibri"/>
              </w:rPr>
              <w:t xml:space="preserve"> </w:t>
            </w:r>
            <w:r w:rsidRPr="00C70A0F">
              <w:rPr>
                <w:rFonts w:eastAsia="Calibri"/>
                <w:sz w:val="24"/>
                <w:szCs w:val="24"/>
              </w:rPr>
              <w:t>transporta mazgāšanu veic Pasūtītāja transporta līdzekļu lietotāji;</w:t>
            </w:r>
          </w:p>
        </w:tc>
        <w:tc>
          <w:tcPr>
            <w:tcW w:w="3402" w:type="dxa"/>
          </w:tcPr>
          <w:p w:rsidR="00C70A0F" w:rsidRPr="00C70A0F" w:rsidRDefault="00C70A0F" w:rsidP="00C70A0F">
            <w:pPr>
              <w:rPr>
                <w:rFonts w:eastAsia="Calibri"/>
                <w:sz w:val="24"/>
                <w:szCs w:val="24"/>
              </w:rPr>
            </w:pPr>
          </w:p>
        </w:tc>
      </w:tr>
      <w:tr w:rsidR="00C70A0F" w:rsidRPr="00C70A0F" w:rsidTr="00390221">
        <w:tc>
          <w:tcPr>
            <w:tcW w:w="696" w:type="dxa"/>
          </w:tcPr>
          <w:p w:rsidR="00C70A0F" w:rsidRPr="00C70A0F" w:rsidRDefault="00C70A0F" w:rsidP="00C70A0F">
            <w:pPr>
              <w:suppressAutoHyphens/>
              <w:jc w:val="center"/>
              <w:rPr>
                <w:rFonts w:eastAsia="Calibri"/>
                <w:sz w:val="24"/>
                <w:szCs w:val="24"/>
                <w:lang w:eastAsia="ar-SA"/>
              </w:rPr>
            </w:pPr>
            <w:r w:rsidRPr="00C70A0F">
              <w:rPr>
                <w:rFonts w:eastAsia="Calibri"/>
                <w:sz w:val="24"/>
                <w:szCs w:val="24"/>
                <w:lang w:eastAsia="ar-SA"/>
              </w:rPr>
              <w:t>4.3.</w:t>
            </w:r>
          </w:p>
        </w:tc>
        <w:tc>
          <w:tcPr>
            <w:tcW w:w="5683" w:type="dxa"/>
          </w:tcPr>
          <w:p w:rsidR="00C70A0F" w:rsidRPr="00C70A0F" w:rsidRDefault="00C70A0F" w:rsidP="00C70A0F">
            <w:pPr>
              <w:suppressAutoHyphens/>
              <w:spacing w:after="120"/>
              <w:jc w:val="both"/>
              <w:rPr>
                <w:rFonts w:eastAsia="Calibri"/>
                <w:sz w:val="24"/>
                <w:szCs w:val="24"/>
                <w:lang w:eastAsia="ar-SA"/>
              </w:rPr>
            </w:pPr>
            <w:r w:rsidRPr="00C70A0F">
              <w:rPr>
                <w:rFonts w:eastAsia="Calibri"/>
                <w:sz w:val="24"/>
                <w:szCs w:val="24"/>
                <w:lang w:eastAsia="ar-SA"/>
              </w:rPr>
              <w:t>Auto mazgāšanas pašapkalpošanās stacija nodrošina:</w:t>
            </w:r>
          </w:p>
          <w:p w:rsidR="00C70A0F" w:rsidRPr="00C70A0F" w:rsidRDefault="00C70A0F" w:rsidP="00C70A0F">
            <w:pPr>
              <w:suppressAutoHyphens/>
              <w:spacing w:after="120"/>
              <w:jc w:val="both"/>
              <w:rPr>
                <w:rFonts w:eastAsia="Calibri"/>
                <w:sz w:val="24"/>
                <w:szCs w:val="24"/>
                <w:lang w:eastAsia="ar-SA"/>
              </w:rPr>
            </w:pPr>
            <w:r w:rsidRPr="00C70A0F">
              <w:rPr>
                <w:rFonts w:eastAsia="Calibri"/>
                <w:sz w:val="24"/>
                <w:szCs w:val="24"/>
                <w:lang w:eastAsia="ar-SA"/>
              </w:rPr>
              <w:t>4.3.1. virsbūves skalošanu;</w:t>
            </w:r>
          </w:p>
          <w:p w:rsidR="00C70A0F" w:rsidRPr="00C70A0F" w:rsidRDefault="00C70A0F" w:rsidP="00C70A0F">
            <w:pPr>
              <w:suppressAutoHyphens/>
              <w:spacing w:after="120"/>
              <w:jc w:val="both"/>
              <w:rPr>
                <w:rFonts w:eastAsia="Calibri"/>
                <w:sz w:val="24"/>
                <w:szCs w:val="24"/>
                <w:lang w:eastAsia="ar-SA"/>
              </w:rPr>
            </w:pPr>
            <w:r w:rsidRPr="00C70A0F">
              <w:rPr>
                <w:rFonts w:eastAsia="Calibri"/>
                <w:sz w:val="24"/>
                <w:szCs w:val="24"/>
                <w:lang w:eastAsia="ar-SA"/>
              </w:rPr>
              <w:t xml:space="preserve">4.3.2. virsbūves mazgāšanu ar pulveri; </w:t>
            </w:r>
          </w:p>
        </w:tc>
        <w:tc>
          <w:tcPr>
            <w:tcW w:w="3402" w:type="dxa"/>
          </w:tcPr>
          <w:p w:rsidR="00C70A0F" w:rsidRPr="00C70A0F" w:rsidRDefault="00C70A0F" w:rsidP="00C70A0F">
            <w:pPr>
              <w:rPr>
                <w:rFonts w:eastAsia="Calibri"/>
                <w:sz w:val="24"/>
                <w:szCs w:val="24"/>
              </w:rPr>
            </w:pPr>
          </w:p>
        </w:tc>
      </w:tr>
      <w:tr w:rsidR="00C70A0F" w:rsidRPr="00C70A0F" w:rsidTr="00390221">
        <w:tc>
          <w:tcPr>
            <w:tcW w:w="696" w:type="dxa"/>
          </w:tcPr>
          <w:p w:rsidR="00C70A0F" w:rsidRPr="00C70A0F" w:rsidRDefault="00C70A0F" w:rsidP="00C70A0F">
            <w:pPr>
              <w:suppressAutoHyphens/>
              <w:jc w:val="center"/>
              <w:rPr>
                <w:rFonts w:eastAsia="Calibri"/>
                <w:sz w:val="24"/>
                <w:szCs w:val="24"/>
                <w:lang w:eastAsia="ar-SA"/>
              </w:rPr>
            </w:pPr>
            <w:r w:rsidRPr="00C70A0F">
              <w:rPr>
                <w:rFonts w:eastAsia="Calibri"/>
                <w:sz w:val="24"/>
                <w:szCs w:val="24"/>
                <w:lang w:eastAsia="ar-SA"/>
              </w:rPr>
              <w:t>4.4.</w:t>
            </w:r>
          </w:p>
        </w:tc>
        <w:tc>
          <w:tcPr>
            <w:tcW w:w="5683" w:type="dxa"/>
          </w:tcPr>
          <w:p w:rsidR="00C70A0F" w:rsidRPr="00C70A0F" w:rsidRDefault="00C70A0F" w:rsidP="00C70A0F">
            <w:pPr>
              <w:suppressAutoHyphens/>
              <w:spacing w:after="120"/>
              <w:jc w:val="both"/>
              <w:rPr>
                <w:rFonts w:eastAsia="Calibri"/>
                <w:sz w:val="24"/>
                <w:szCs w:val="24"/>
                <w:lang w:eastAsia="ar-SA"/>
              </w:rPr>
            </w:pPr>
            <w:r w:rsidRPr="00C70A0F">
              <w:rPr>
                <w:rFonts w:eastAsia="Calibri"/>
                <w:sz w:val="24"/>
                <w:szCs w:val="24"/>
              </w:rPr>
              <w:t>Teritorijā pieejams putekļsūcējs salona tīrīšanai;</w:t>
            </w:r>
          </w:p>
        </w:tc>
        <w:tc>
          <w:tcPr>
            <w:tcW w:w="3402" w:type="dxa"/>
          </w:tcPr>
          <w:p w:rsidR="00C70A0F" w:rsidRPr="00C70A0F" w:rsidRDefault="00C70A0F" w:rsidP="00C70A0F">
            <w:pPr>
              <w:rPr>
                <w:rFonts w:eastAsia="Calibri"/>
                <w:sz w:val="24"/>
                <w:szCs w:val="24"/>
              </w:rPr>
            </w:pPr>
          </w:p>
        </w:tc>
      </w:tr>
      <w:tr w:rsidR="00C70A0F" w:rsidRPr="00C70A0F" w:rsidTr="00390221">
        <w:trPr>
          <w:trHeight w:val="3397"/>
        </w:trPr>
        <w:tc>
          <w:tcPr>
            <w:tcW w:w="696" w:type="dxa"/>
          </w:tcPr>
          <w:p w:rsidR="00C70A0F" w:rsidRPr="00C70A0F" w:rsidRDefault="00C70A0F" w:rsidP="00C70A0F">
            <w:pPr>
              <w:suppressAutoHyphens/>
              <w:spacing w:after="200" w:line="276" w:lineRule="auto"/>
              <w:jc w:val="center"/>
              <w:rPr>
                <w:rFonts w:eastAsia="Calibri"/>
                <w:b/>
                <w:bCs/>
                <w:sz w:val="24"/>
                <w:szCs w:val="24"/>
                <w:lang w:eastAsia="ar-SA"/>
              </w:rPr>
            </w:pPr>
            <w:r w:rsidRPr="00C70A0F">
              <w:rPr>
                <w:rFonts w:eastAsia="Calibri"/>
                <w:sz w:val="24"/>
                <w:szCs w:val="24"/>
                <w:lang w:eastAsia="ar-SA"/>
              </w:rPr>
              <w:t>4.5</w:t>
            </w:r>
            <w:r w:rsidRPr="00C70A0F">
              <w:rPr>
                <w:rFonts w:eastAsia="Calibri"/>
                <w:b/>
                <w:bCs/>
                <w:sz w:val="24"/>
                <w:szCs w:val="24"/>
                <w:lang w:eastAsia="ar-SA"/>
              </w:rPr>
              <w:t>.</w:t>
            </w:r>
          </w:p>
        </w:tc>
        <w:tc>
          <w:tcPr>
            <w:tcW w:w="5683" w:type="dxa"/>
          </w:tcPr>
          <w:p w:rsidR="00C70A0F" w:rsidRPr="00C70A0F" w:rsidRDefault="00C70A0F" w:rsidP="00C70A0F">
            <w:pPr>
              <w:suppressAutoHyphens/>
              <w:autoSpaceDN w:val="0"/>
              <w:jc w:val="both"/>
              <w:textAlignment w:val="baseline"/>
              <w:rPr>
                <w:rFonts w:eastAsia="Calibri"/>
                <w:sz w:val="24"/>
                <w:szCs w:val="24"/>
              </w:rPr>
            </w:pPr>
            <w:r w:rsidRPr="00C70A0F">
              <w:rPr>
                <w:rFonts w:eastAsia="Calibri"/>
                <w:sz w:val="24"/>
                <w:szCs w:val="24"/>
              </w:rPr>
              <w:t>Pakalpojuma sniegšanai Pretendents izsniedz Pasūtītāja lietotājiem klientu kartes:</w:t>
            </w:r>
          </w:p>
          <w:p w:rsidR="00C70A0F" w:rsidRPr="00C70A0F" w:rsidRDefault="00C70A0F" w:rsidP="00C70A0F">
            <w:pPr>
              <w:numPr>
                <w:ilvl w:val="2"/>
                <w:numId w:val="2"/>
              </w:numPr>
              <w:suppressAutoHyphens/>
              <w:autoSpaceDN w:val="0"/>
              <w:contextualSpacing/>
              <w:jc w:val="both"/>
              <w:textAlignment w:val="baseline"/>
              <w:rPr>
                <w:rFonts w:eastAsia="Calibri"/>
                <w:sz w:val="24"/>
                <w:szCs w:val="24"/>
              </w:rPr>
            </w:pPr>
            <w:r w:rsidRPr="00C70A0F">
              <w:rPr>
                <w:rFonts w:eastAsia="Calibri"/>
                <w:sz w:val="24"/>
                <w:szCs w:val="24"/>
              </w:rPr>
              <w:t>Katram lietotājam (transportlīdzeklim) sava klienta karte;</w:t>
            </w:r>
          </w:p>
          <w:p w:rsidR="00C70A0F" w:rsidRPr="00C70A0F" w:rsidRDefault="00C70A0F" w:rsidP="00C70A0F">
            <w:pPr>
              <w:numPr>
                <w:ilvl w:val="2"/>
                <w:numId w:val="2"/>
              </w:numPr>
              <w:suppressAutoHyphens/>
              <w:autoSpaceDN w:val="0"/>
              <w:contextualSpacing/>
              <w:jc w:val="both"/>
              <w:textAlignment w:val="baseline"/>
              <w:rPr>
                <w:rFonts w:eastAsia="Calibri"/>
                <w:sz w:val="24"/>
                <w:szCs w:val="24"/>
              </w:rPr>
            </w:pPr>
            <w:r w:rsidRPr="00C70A0F">
              <w:rPr>
                <w:rFonts w:eastAsia="Calibri"/>
                <w:bCs/>
                <w:sz w:val="24"/>
                <w:szCs w:val="24"/>
              </w:rPr>
              <w:t>Pasūtītājs patur tiesības mainīt (palielināt vai samazināt) karšu skaitu;</w:t>
            </w:r>
          </w:p>
          <w:p w:rsidR="00C70A0F" w:rsidRPr="00C70A0F" w:rsidRDefault="00C70A0F" w:rsidP="00C70A0F">
            <w:pPr>
              <w:numPr>
                <w:ilvl w:val="2"/>
                <w:numId w:val="2"/>
              </w:numPr>
              <w:suppressAutoHyphens/>
              <w:autoSpaceDN w:val="0"/>
              <w:contextualSpacing/>
              <w:jc w:val="both"/>
              <w:textAlignment w:val="baseline"/>
              <w:rPr>
                <w:rFonts w:eastAsia="Calibri"/>
                <w:sz w:val="24"/>
                <w:szCs w:val="24"/>
              </w:rPr>
            </w:pPr>
            <w:r w:rsidRPr="00C70A0F">
              <w:rPr>
                <w:rFonts w:eastAsia="Calibri"/>
                <w:bCs/>
                <w:sz w:val="24"/>
                <w:szCs w:val="24"/>
              </w:rPr>
              <w:t>Iespēja noteikt katrai klienta kartei lietošanas limitu;</w:t>
            </w:r>
          </w:p>
          <w:p w:rsidR="00C70A0F" w:rsidRPr="00C70A0F" w:rsidRDefault="00C70A0F" w:rsidP="00C70A0F">
            <w:pPr>
              <w:numPr>
                <w:ilvl w:val="2"/>
                <w:numId w:val="2"/>
              </w:numPr>
              <w:suppressAutoHyphens/>
              <w:snapToGrid w:val="0"/>
              <w:spacing w:after="120"/>
              <w:contextualSpacing/>
              <w:jc w:val="both"/>
              <w:rPr>
                <w:rFonts w:eastAsia="Calibri"/>
                <w:sz w:val="24"/>
                <w:szCs w:val="24"/>
                <w:lang w:eastAsia="ar-SA"/>
              </w:rPr>
            </w:pPr>
            <w:r w:rsidRPr="00C70A0F">
              <w:rPr>
                <w:rFonts w:eastAsia="Calibri"/>
                <w:bCs/>
                <w:sz w:val="24"/>
                <w:szCs w:val="24"/>
              </w:rPr>
              <w:t>Karšu izgatavošanas izmaksas iekļautas piedāvājuma cenā.</w:t>
            </w:r>
          </w:p>
          <w:p w:rsidR="00C70A0F" w:rsidRPr="00C70A0F" w:rsidRDefault="00C70A0F" w:rsidP="00C70A0F">
            <w:pPr>
              <w:numPr>
                <w:ilvl w:val="2"/>
                <w:numId w:val="2"/>
              </w:numPr>
              <w:suppressAutoHyphens/>
              <w:snapToGrid w:val="0"/>
              <w:spacing w:after="120"/>
              <w:contextualSpacing/>
              <w:jc w:val="both"/>
              <w:rPr>
                <w:rFonts w:eastAsia="Calibri"/>
                <w:sz w:val="24"/>
                <w:szCs w:val="24"/>
                <w:lang w:eastAsia="ar-SA"/>
              </w:rPr>
            </w:pPr>
            <w:r w:rsidRPr="00C70A0F">
              <w:rPr>
                <w:rFonts w:eastAsia="Calibri"/>
                <w:sz w:val="24"/>
                <w:szCs w:val="24"/>
                <w:lang w:eastAsia="ar-SA"/>
              </w:rPr>
              <w:t>Pretendents nodrošina norēķinu uzskaiti un apstrādi par saņemtajiem pakalpojumiem automazgātavās;</w:t>
            </w:r>
          </w:p>
          <w:p w:rsidR="00C70A0F" w:rsidRPr="00C70A0F" w:rsidRDefault="00C70A0F" w:rsidP="00C70A0F">
            <w:pPr>
              <w:numPr>
                <w:ilvl w:val="2"/>
                <w:numId w:val="2"/>
              </w:numPr>
              <w:spacing w:after="200" w:line="276" w:lineRule="auto"/>
              <w:contextualSpacing/>
              <w:jc w:val="both"/>
              <w:rPr>
                <w:rFonts w:eastAsia="Calibri"/>
                <w:sz w:val="24"/>
                <w:szCs w:val="24"/>
                <w:lang w:eastAsia="ar-SA"/>
              </w:rPr>
            </w:pPr>
            <w:r w:rsidRPr="00C70A0F">
              <w:rPr>
                <w:rFonts w:eastAsia="Calibri"/>
                <w:sz w:val="24"/>
                <w:szCs w:val="24"/>
                <w:lang w:eastAsia="ar-SA"/>
              </w:rPr>
              <w:t>Rēķinā tiek norādīti katram kartes lietotājam sniegtie pakalpojumi, tas tiek sagatavots un nosūtīts pasūtītājam vienu reizi mēnesī.</w:t>
            </w:r>
          </w:p>
        </w:tc>
        <w:tc>
          <w:tcPr>
            <w:tcW w:w="3402" w:type="dxa"/>
          </w:tcPr>
          <w:p w:rsidR="00C70A0F" w:rsidRPr="00C70A0F" w:rsidRDefault="00C70A0F" w:rsidP="00C70A0F">
            <w:pPr>
              <w:spacing w:after="120" w:line="276" w:lineRule="auto"/>
              <w:jc w:val="both"/>
              <w:rPr>
                <w:rFonts w:eastAsia="Calibri"/>
                <w:sz w:val="24"/>
                <w:szCs w:val="24"/>
              </w:rPr>
            </w:pPr>
          </w:p>
        </w:tc>
      </w:tr>
      <w:tr w:rsidR="00C70A0F" w:rsidRPr="00C70A0F" w:rsidTr="00390221">
        <w:tc>
          <w:tcPr>
            <w:tcW w:w="696" w:type="dxa"/>
          </w:tcPr>
          <w:p w:rsidR="00C70A0F" w:rsidRPr="00C70A0F" w:rsidRDefault="00C70A0F" w:rsidP="00C70A0F">
            <w:pPr>
              <w:suppressAutoHyphens/>
              <w:spacing w:after="200" w:line="276" w:lineRule="auto"/>
              <w:jc w:val="center"/>
              <w:rPr>
                <w:rFonts w:eastAsia="Calibri"/>
                <w:sz w:val="24"/>
                <w:szCs w:val="24"/>
                <w:lang w:eastAsia="ar-SA"/>
              </w:rPr>
            </w:pPr>
            <w:r w:rsidRPr="00C70A0F">
              <w:rPr>
                <w:rFonts w:eastAsia="Calibri"/>
                <w:sz w:val="24"/>
                <w:szCs w:val="24"/>
                <w:lang w:eastAsia="ar-SA"/>
              </w:rPr>
              <w:lastRenderedPageBreak/>
              <w:t>4.6.</w:t>
            </w:r>
          </w:p>
        </w:tc>
        <w:tc>
          <w:tcPr>
            <w:tcW w:w="5683" w:type="dxa"/>
          </w:tcPr>
          <w:p w:rsidR="00C70A0F" w:rsidRPr="004E7D0B" w:rsidRDefault="00C70A0F" w:rsidP="00C70A0F">
            <w:pPr>
              <w:spacing w:after="120"/>
              <w:jc w:val="both"/>
              <w:rPr>
                <w:rFonts w:eastAsia="Calibri"/>
                <w:b/>
                <w:sz w:val="24"/>
                <w:szCs w:val="24"/>
              </w:rPr>
            </w:pPr>
            <w:bookmarkStart w:id="0" w:name="_GoBack"/>
            <w:r w:rsidRPr="004E7D0B">
              <w:rPr>
                <w:rFonts w:eastAsia="Calibri"/>
                <w:b/>
                <w:sz w:val="24"/>
                <w:szCs w:val="24"/>
              </w:rPr>
              <w:t>Vismaz 1 (viena</w:t>
            </w:r>
            <w:r w:rsidR="004E7D0B" w:rsidRPr="004E7D0B">
              <w:rPr>
                <w:rFonts w:eastAsia="Calibri"/>
                <w:b/>
                <w:sz w:val="24"/>
                <w:szCs w:val="24"/>
              </w:rPr>
              <w:t>i</w:t>
            </w:r>
            <w:r w:rsidRPr="004E7D0B">
              <w:rPr>
                <w:rFonts w:eastAsia="Calibri"/>
                <w:b/>
                <w:sz w:val="24"/>
                <w:szCs w:val="24"/>
              </w:rPr>
              <w:t xml:space="preserve">) pašapkalpošanās auto </w:t>
            </w:r>
            <w:proofErr w:type="spellStart"/>
            <w:r w:rsidRPr="004E7D0B">
              <w:rPr>
                <w:rFonts w:eastAsia="Calibri"/>
                <w:b/>
                <w:sz w:val="24"/>
                <w:szCs w:val="24"/>
              </w:rPr>
              <w:t>mazgātuve</w:t>
            </w:r>
            <w:r w:rsidR="004E7D0B" w:rsidRPr="004E7D0B">
              <w:rPr>
                <w:rFonts w:eastAsia="Calibri"/>
                <w:b/>
                <w:sz w:val="24"/>
                <w:szCs w:val="24"/>
              </w:rPr>
              <w:t>i</w:t>
            </w:r>
            <w:proofErr w:type="spellEnd"/>
            <w:r w:rsidRPr="004E7D0B">
              <w:rPr>
                <w:rFonts w:eastAsia="Calibri"/>
                <w:b/>
                <w:sz w:val="24"/>
                <w:szCs w:val="24"/>
              </w:rPr>
              <w:t xml:space="preserve"> </w:t>
            </w:r>
            <w:r w:rsidR="004E7D0B" w:rsidRPr="004E7D0B">
              <w:rPr>
                <w:rFonts w:eastAsia="Calibri"/>
                <w:b/>
                <w:sz w:val="24"/>
                <w:szCs w:val="24"/>
              </w:rPr>
              <w:t>jāatrodas Talsu novada administratīvajā teritorijā.</w:t>
            </w:r>
            <w:bookmarkEnd w:id="0"/>
          </w:p>
        </w:tc>
        <w:tc>
          <w:tcPr>
            <w:tcW w:w="3402" w:type="dxa"/>
            <w:vAlign w:val="center"/>
          </w:tcPr>
          <w:p w:rsidR="00C70A0F" w:rsidRPr="00C70A0F" w:rsidRDefault="00C70A0F" w:rsidP="00C70A0F">
            <w:pPr>
              <w:spacing w:after="120" w:line="276" w:lineRule="auto"/>
              <w:rPr>
                <w:rFonts w:eastAsia="Calibri"/>
                <w:sz w:val="24"/>
                <w:szCs w:val="24"/>
              </w:rPr>
            </w:pPr>
          </w:p>
        </w:tc>
      </w:tr>
      <w:tr w:rsidR="00C70A0F" w:rsidRPr="00C70A0F" w:rsidTr="00390221">
        <w:trPr>
          <w:trHeight w:val="699"/>
        </w:trPr>
        <w:tc>
          <w:tcPr>
            <w:tcW w:w="696" w:type="dxa"/>
            <w:tcBorders>
              <w:bottom w:val="single" w:sz="4" w:space="0" w:color="auto"/>
            </w:tcBorders>
          </w:tcPr>
          <w:p w:rsidR="00C70A0F" w:rsidRPr="00C70A0F" w:rsidRDefault="00C70A0F" w:rsidP="00C70A0F">
            <w:pPr>
              <w:suppressAutoHyphens/>
              <w:jc w:val="center"/>
              <w:rPr>
                <w:rFonts w:eastAsia="Calibri"/>
                <w:sz w:val="24"/>
                <w:szCs w:val="24"/>
                <w:lang w:eastAsia="ar-SA"/>
              </w:rPr>
            </w:pPr>
            <w:r w:rsidRPr="00C70A0F">
              <w:rPr>
                <w:rFonts w:eastAsia="Calibri"/>
                <w:sz w:val="24"/>
                <w:szCs w:val="24"/>
                <w:lang w:eastAsia="ar-SA"/>
              </w:rPr>
              <w:t>4.7.</w:t>
            </w:r>
          </w:p>
        </w:tc>
        <w:tc>
          <w:tcPr>
            <w:tcW w:w="5683" w:type="dxa"/>
            <w:tcBorders>
              <w:bottom w:val="single" w:sz="4" w:space="0" w:color="auto"/>
            </w:tcBorders>
          </w:tcPr>
          <w:p w:rsidR="00C70A0F" w:rsidRPr="00C70A0F" w:rsidRDefault="00C70A0F" w:rsidP="00C70A0F">
            <w:pPr>
              <w:spacing w:after="120"/>
              <w:jc w:val="both"/>
              <w:rPr>
                <w:rFonts w:eastAsia="Calibri"/>
                <w:sz w:val="24"/>
                <w:szCs w:val="24"/>
              </w:rPr>
            </w:pPr>
            <w:r w:rsidRPr="00C70A0F">
              <w:rPr>
                <w:rFonts w:eastAsia="Calibri"/>
                <w:sz w:val="24"/>
                <w:szCs w:val="24"/>
              </w:rPr>
              <w:t>Pakalpojums pieejams 7 dienas nedēļā, 24 stundas diennaktī.</w:t>
            </w:r>
          </w:p>
        </w:tc>
        <w:tc>
          <w:tcPr>
            <w:tcW w:w="3402" w:type="dxa"/>
            <w:tcBorders>
              <w:bottom w:val="single" w:sz="4" w:space="0" w:color="auto"/>
            </w:tcBorders>
          </w:tcPr>
          <w:p w:rsidR="00C70A0F" w:rsidRPr="00C70A0F" w:rsidRDefault="00C70A0F" w:rsidP="00C70A0F">
            <w:pPr>
              <w:spacing w:after="120" w:line="276" w:lineRule="auto"/>
              <w:rPr>
                <w:rFonts w:eastAsia="Calibri"/>
                <w:sz w:val="24"/>
                <w:szCs w:val="24"/>
              </w:rPr>
            </w:pPr>
          </w:p>
        </w:tc>
      </w:tr>
      <w:tr w:rsidR="00C70A0F" w:rsidRPr="00C70A0F" w:rsidTr="00390221">
        <w:tc>
          <w:tcPr>
            <w:tcW w:w="696" w:type="dxa"/>
          </w:tcPr>
          <w:p w:rsidR="00C70A0F" w:rsidRPr="00C70A0F" w:rsidRDefault="00C70A0F" w:rsidP="00C70A0F">
            <w:pPr>
              <w:suppressAutoHyphens/>
              <w:jc w:val="center"/>
              <w:rPr>
                <w:rFonts w:eastAsia="Calibri"/>
                <w:b/>
                <w:bCs/>
                <w:sz w:val="24"/>
                <w:szCs w:val="24"/>
                <w:lang w:eastAsia="ar-SA"/>
              </w:rPr>
            </w:pPr>
            <w:r w:rsidRPr="00C70A0F">
              <w:rPr>
                <w:rFonts w:eastAsia="Calibri"/>
                <w:b/>
                <w:bCs/>
                <w:sz w:val="24"/>
                <w:szCs w:val="24"/>
                <w:lang w:eastAsia="ar-SA"/>
              </w:rPr>
              <w:t>5.</w:t>
            </w:r>
          </w:p>
        </w:tc>
        <w:tc>
          <w:tcPr>
            <w:tcW w:w="5683" w:type="dxa"/>
          </w:tcPr>
          <w:p w:rsidR="00C70A0F" w:rsidRPr="00C70A0F" w:rsidRDefault="00C70A0F" w:rsidP="00C70A0F">
            <w:pPr>
              <w:spacing w:after="120"/>
              <w:jc w:val="both"/>
              <w:rPr>
                <w:rFonts w:eastAsia="Calibri"/>
                <w:sz w:val="24"/>
                <w:szCs w:val="24"/>
              </w:rPr>
            </w:pPr>
            <w:r w:rsidRPr="00C70A0F">
              <w:rPr>
                <w:rFonts w:eastAsia="Calibri"/>
                <w:sz w:val="24"/>
                <w:szCs w:val="24"/>
              </w:rPr>
              <w:t>Pasūtītājs negarantē līguma darbības laikā izmantot visu Līgumā norādīto summu.</w:t>
            </w:r>
          </w:p>
        </w:tc>
        <w:tc>
          <w:tcPr>
            <w:tcW w:w="3402" w:type="dxa"/>
          </w:tcPr>
          <w:p w:rsidR="00C70A0F" w:rsidRPr="00C70A0F" w:rsidRDefault="00C70A0F" w:rsidP="00C70A0F">
            <w:pPr>
              <w:spacing w:after="120" w:line="276" w:lineRule="auto"/>
              <w:rPr>
                <w:rFonts w:eastAsia="Calibri"/>
                <w:sz w:val="24"/>
                <w:szCs w:val="24"/>
              </w:rPr>
            </w:pPr>
          </w:p>
        </w:tc>
      </w:tr>
    </w:tbl>
    <w:p w:rsidR="00C70A0F" w:rsidRPr="00C70A0F" w:rsidRDefault="00C70A0F" w:rsidP="00C70A0F">
      <w:pPr>
        <w:spacing w:after="0" w:line="240" w:lineRule="auto"/>
        <w:jc w:val="both"/>
        <w:rPr>
          <w:rFonts w:ascii="Times New Roman" w:eastAsia="Calibri" w:hAnsi="Times New Roman" w:cs="Times New Roman"/>
          <w:sz w:val="20"/>
          <w:szCs w:val="20"/>
        </w:rPr>
      </w:pPr>
    </w:p>
    <w:tbl>
      <w:tblPr>
        <w:tblW w:w="978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095"/>
      </w:tblGrid>
      <w:tr w:rsidR="00C70A0F" w:rsidRPr="00C70A0F" w:rsidTr="00390221">
        <w:trPr>
          <w:trHeight w:val="386"/>
        </w:trPr>
        <w:tc>
          <w:tcPr>
            <w:tcW w:w="3686" w:type="dxa"/>
            <w:shd w:val="pct5" w:color="auto" w:fill="FFFFFF"/>
            <w:vAlign w:val="center"/>
          </w:tcPr>
          <w:p w:rsidR="00C70A0F" w:rsidRPr="00C70A0F" w:rsidRDefault="00C70A0F" w:rsidP="00C70A0F">
            <w:pPr>
              <w:suppressAutoHyphens/>
              <w:spacing w:after="0" w:line="240" w:lineRule="auto"/>
              <w:rPr>
                <w:rFonts w:ascii="Times New Roman" w:eastAsia="Times New Roman" w:hAnsi="Times New Roman" w:cs="Times New Roman"/>
                <w:b/>
                <w:lang w:eastAsia="ar-SA"/>
              </w:rPr>
            </w:pPr>
            <w:r w:rsidRPr="00C70A0F">
              <w:rPr>
                <w:rFonts w:ascii="Times New Roman" w:eastAsia="Times New Roman" w:hAnsi="Times New Roman" w:cs="Times New Roman"/>
                <w:b/>
                <w:lang w:eastAsia="ar-SA"/>
              </w:rPr>
              <w:t>Amats, vārds, uzvārds</w:t>
            </w:r>
          </w:p>
          <w:p w:rsidR="00C70A0F" w:rsidRPr="00C70A0F" w:rsidRDefault="00C70A0F" w:rsidP="00C70A0F">
            <w:pPr>
              <w:suppressAutoHyphens/>
              <w:spacing w:after="0" w:line="240" w:lineRule="auto"/>
              <w:rPr>
                <w:rFonts w:ascii="Times New Roman" w:eastAsia="Times New Roman" w:hAnsi="Times New Roman" w:cs="Times New Roman"/>
                <w:b/>
                <w:lang w:eastAsia="ar-SA"/>
              </w:rPr>
            </w:pPr>
            <w:r w:rsidRPr="00C70A0F">
              <w:rPr>
                <w:rFonts w:ascii="Times New Roman" w:eastAsia="Times New Roman" w:hAnsi="Times New Roman" w:cs="Times New Roman"/>
                <w:i/>
                <w:sz w:val="20"/>
                <w:szCs w:val="20"/>
                <w:lang w:eastAsia="ar-SA"/>
              </w:rPr>
              <w:t>(pretendenta vai tā pilnvarotās personas)</w:t>
            </w:r>
          </w:p>
        </w:tc>
        <w:tc>
          <w:tcPr>
            <w:tcW w:w="6095" w:type="dxa"/>
            <w:vAlign w:val="center"/>
          </w:tcPr>
          <w:p w:rsidR="00C70A0F" w:rsidRPr="00C70A0F" w:rsidRDefault="00C70A0F" w:rsidP="00C70A0F">
            <w:pPr>
              <w:suppressAutoHyphens/>
              <w:spacing w:after="0" w:line="240" w:lineRule="auto"/>
              <w:rPr>
                <w:rFonts w:ascii="Times New Roman" w:eastAsia="Times New Roman" w:hAnsi="Times New Roman" w:cs="Times New Roman"/>
                <w:lang w:eastAsia="ar-SA"/>
              </w:rPr>
            </w:pPr>
          </w:p>
        </w:tc>
      </w:tr>
      <w:tr w:rsidR="00C70A0F" w:rsidRPr="00C70A0F" w:rsidTr="00390221">
        <w:trPr>
          <w:trHeight w:val="184"/>
        </w:trPr>
        <w:tc>
          <w:tcPr>
            <w:tcW w:w="3686" w:type="dxa"/>
            <w:shd w:val="pct5" w:color="auto" w:fill="FFFFFF"/>
            <w:vAlign w:val="center"/>
          </w:tcPr>
          <w:p w:rsidR="00C70A0F" w:rsidRPr="00C70A0F" w:rsidRDefault="00C70A0F" w:rsidP="00C70A0F">
            <w:pPr>
              <w:suppressAutoHyphens/>
              <w:spacing w:after="0" w:line="240" w:lineRule="auto"/>
              <w:jc w:val="both"/>
              <w:rPr>
                <w:rFonts w:ascii="Times New Roman" w:eastAsia="Times New Roman" w:hAnsi="Times New Roman" w:cs="Times New Roman"/>
                <w:b/>
                <w:lang w:eastAsia="ar-SA"/>
              </w:rPr>
            </w:pPr>
            <w:r w:rsidRPr="00C70A0F">
              <w:rPr>
                <w:rFonts w:ascii="Times New Roman" w:eastAsia="Times New Roman" w:hAnsi="Times New Roman" w:cs="Times New Roman"/>
                <w:b/>
                <w:lang w:eastAsia="ar-SA"/>
              </w:rPr>
              <w:t>Paraksts</w:t>
            </w:r>
          </w:p>
        </w:tc>
        <w:tc>
          <w:tcPr>
            <w:tcW w:w="6095" w:type="dxa"/>
            <w:vAlign w:val="center"/>
          </w:tcPr>
          <w:p w:rsidR="00C70A0F" w:rsidRPr="00C70A0F" w:rsidRDefault="00C70A0F" w:rsidP="00C70A0F">
            <w:pPr>
              <w:suppressAutoHyphens/>
              <w:spacing w:after="0" w:line="240" w:lineRule="auto"/>
              <w:rPr>
                <w:rFonts w:ascii="Times New Roman" w:eastAsia="Times New Roman" w:hAnsi="Times New Roman" w:cs="Times New Roman"/>
                <w:lang w:eastAsia="ar-SA"/>
              </w:rPr>
            </w:pPr>
          </w:p>
        </w:tc>
      </w:tr>
    </w:tbl>
    <w:p w:rsidR="00C70A0F" w:rsidRDefault="00C70A0F"/>
    <w:sectPr w:rsidR="00C70A0F" w:rsidSect="00C70A0F">
      <w:pgSz w:w="11906" w:h="16838"/>
      <w:pgMar w:top="851" w:right="849" w:bottom="28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0A0F" w:rsidRDefault="00C70A0F" w:rsidP="00C70A0F">
      <w:pPr>
        <w:spacing w:after="0" w:line="240" w:lineRule="auto"/>
      </w:pPr>
      <w:r>
        <w:separator/>
      </w:r>
    </w:p>
  </w:endnote>
  <w:endnote w:type="continuationSeparator" w:id="0">
    <w:p w:rsidR="00C70A0F" w:rsidRDefault="00C70A0F" w:rsidP="00C70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0A0F" w:rsidRDefault="00C70A0F" w:rsidP="00C70A0F">
      <w:pPr>
        <w:spacing w:after="0" w:line="240" w:lineRule="auto"/>
      </w:pPr>
      <w:r>
        <w:separator/>
      </w:r>
    </w:p>
  </w:footnote>
  <w:footnote w:type="continuationSeparator" w:id="0">
    <w:p w:rsidR="00C70A0F" w:rsidRDefault="00C70A0F" w:rsidP="00C70A0F">
      <w:pPr>
        <w:spacing w:after="0" w:line="240" w:lineRule="auto"/>
      </w:pPr>
      <w:r>
        <w:continuationSeparator/>
      </w:r>
    </w:p>
  </w:footnote>
  <w:footnote w:id="1">
    <w:p w:rsidR="00842019" w:rsidRDefault="00842019" w:rsidP="00842019">
      <w:pPr>
        <w:spacing w:after="0" w:line="240" w:lineRule="auto"/>
        <w:ind w:left="142" w:hanging="142"/>
        <w:jc w:val="both"/>
        <w:rPr>
          <w:rFonts w:ascii="Times New Roman" w:eastAsia="Calibri" w:hAnsi="Times New Roman" w:cs="Times New Roman"/>
          <w:sz w:val="20"/>
          <w:szCs w:val="20"/>
        </w:rPr>
      </w:pPr>
      <w:r w:rsidRPr="00C70A0F">
        <w:rPr>
          <w:rFonts w:ascii="Times New Roman" w:eastAsia="Calibri" w:hAnsi="Times New Roman" w:cs="Times New Roman"/>
          <w:sz w:val="20"/>
          <w:szCs w:val="20"/>
          <w:vertAlign w:val="superscript"/>
        </w:rPr>
        <w:footnoteRef/>
      </w:r>
      <w:r w:rsidRPr="00C70A0F">
        <w:rPr>
          <w:rFonts w:ascii="Times New Roman" w:eastAsia="Calibri" w:hAnsi="Times New Roman" w:cs="Times New Roman"/>
          <w:sz w:val="20"/>
          <w:szCs w:val="20"/>
        </w:rPr>
        <w:t xml:space="preserve"> aizpilda pretendents, katrā ailē ierakstot vārdu </w:t>
      </w:r>
      <w:r w:rsidRPr="00C70A0F">
        <w:rPr>
          <w:rFonts w:ascii="Times New Roman" w:eastAsia="Calibri" w:hAnsi="Times New Roman" w:cs="Times New Roman"/>
          <w:b/>
          <w:bCs/>
          <w:sz w:val="20"/>
          <w:szCs w:val="20"/>
        </w:rPr>
        <w:t>“Apliecinām”</w:t>
      </w:r>
      <w:r w:rsidRPr="00C70A0F">
        <w:rPr>
          <w:rFonts w:ascii="Times New Roman" w:eastAsia="Calibri" w:hAnsi="Times New Roman" w:cs="Times New Roman"/>
          <w:sz w:val="20"/>
          <w:szCs w:val="20"/>
        </w:rPr>
        <w:t xml:space="preserve"> vai </w:t>
      </w:r>
      <w:r w:rsidRPr="00C70A0F">
        <w:rPr>
          <w:rFonts w:ascii="Times New Roman" w:eastAsia="Calibri" w:hAnsi="Times New Roman" w:cs="Times New Roman"/>
          <w:b/>
          <w:bCs/>
          <w:sz w:val="20"/>
          <w:szCs w:val="20"/>
        </w:rPr>
        <w:t>“Nodrošināsim”</w:t>
      </w:r>
      <w:r w:rsidRPr="00C70A0F">
        <w:rPr>
          <w:rFonts w:ascii="Times New Roman" w:eastAsia="Calibri" w:hAnsi="Times New Roman" w:cs="Times New Roman"/>
          <w:sz w:val="20"/>
          <w:szCs w:val="20"/>
        </w:rPr>
        <w:t xml:space="preserve">, vai </w:t>
      </w:r>
      <w:r w:rsidRPr="00C70A0F">
        <w:rPr>
          <w:rFonts w:ascii="Times New Roman" w:eastAsia="Calibri" w:hAnsi="Times New Roman" w:cs="Times New Roman"/>
          <w:b/>
          <w:bCs/>
          <w:sz w:val="20"/>
          <w:szCs w:val="20"/>
        </w:rPr>
        <w:t>“Piekrītam”</w:t>
      </w:r>
      <w:r w:rsidRPr="00C70A0F">
        <w:rPr>
          <w:rFonts w:ascii="Times New Roman" w:eastAsia="Calibri" w:hAnsi="Times New Roman" w:cs="Times New Roman"/>
          <w:sz w:val="20"/>
          <w:szCs w:val="20"/>
        </w:rPr>
        <w:t>, vai citādi raksturojot savas iespējas nodrošināt prasību ievērošanu.</w:t>
      </w:r>
    </w:p>
    <w:p w:rsidR="00C70A0F" w:rsidRPr="00266057" w:rsidRDefault="00C70A0F" w:rsidP="00C70A0F">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E478B"/>
    <w:multiLevelType w:val="hybridMultilevel"/>
    <w:tmpl w:val="4052E0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04F65D0"/>
    <w:multiLevelType w:val="multilevel"/>
    <w:tmpl w:val="771CFE74"/>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A0F"/>
    <w:rsid w:val="0001705A"/>
    <w:rsid w:val="004E7D0B"/>
    <w:rsid w:val="00842019"/>
    <w:rsid w:val="00904167"/>
    <w:rsid w:val="00C70A0F"/>
    <w:rsid w:val="00E133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5C730"/>
  <w15:chartTrackingRefBased/>
  <w15:docId w15:val="{935793C5-57B4-4128-8FB3-9C177417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C70A0F"/>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unhideWhenUsed/>
    <w:rsid w:val="00C70A0F"/>
    <w:pPr>
      <w:spacing w:after="0" w:line="240" w:lineRule="auto"/>
    </w:pPr>
    <w:rPr>
      <w:sz w:val="20"/>
      <w:szCs w:val="20"/>
    </w:rPr>
  </w:style>
  <w:style w:type="character" w:customStyle="1" w:styleId="VrestekstsRakstz">
    <w:name w:val="Vēres teksts Rakstz."/>
    <w:basedOn w:val="Noklusjumarindkopasfonts"/>
    <w:link w:val="Vresteksts"/>
    <w:uiPriority w:val="99"/>
    <w:rsid w:val="00C70A0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1522</Words>
  <Characters>868</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Horste</dc:creator>
  <cp:keywords/>
  <dc:description/>
  <cp:lastModifiedBy>Justīne Jackeviča</cp:lastModifiedBy>
  <cp:revision>4</cp:revision>
  <dcterms:created xsi:type="dcterms:W3CDTF">2022-03-17T14:55:00Z</dcterms:created>
  <dcterms:modified xsi:type="dcterms:W3CDTF">2022-03-18T09:00:00Z</dcterms:modified>
</cp:coreProperties>
</file>