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E41D0" w14:textId="77777777" w:rsidR="007577B9" w:rsidRPr="0095236A" w:rsidRDefault="007577B9" w:rsidP="007577B9">
      <w:pPr>
        <w:contextualSpacing/>
        <w:jc w:val="right"/>
        <w:rPr>
          <w:b/>
          <w:sz w:val="20"/>
        </w:rPr>
      </w:pPr>
      <w:r w:rsidRPr="0095236A">
        <w:rPr>
          <w:b/>
          <w:sz w:val="20"/>
        </w:rPr>
        <w:t>1.pielikums</w:t>
      </w:r>
    </w:p>
    <w:p w14:paraId="3A9D7798" w14:textId="77777777" w:rsidR="00594C50" w:rsidRDefault="007577B9" w:rsidP="00594C50">
      <w:pPr>
        <w:jc w:val="right"/>
        <w:rPr>
          <w:rFonts w:eastAsia="Times New Roman"/>
          <w:sz w:val="20"/>
          <w:szCs w:val="20"/>
          <w:lang w:eastAsia="ar-SA"/>
        </w:rPr>
      </w:pPr>
      <w:r w:rsidRPr="00594C50">
        <w:rPr>
          <w:rFonts w:eastAsia="Times New Roman"/>
          <w:sz w:val="20"/>
          <w:szCs w:val="20"/>
          <w:lang w:eastAsia="ar-SA"/>
        </w:rPr>
        <w:t>Cenu aptaujai “Talsu novada pašvaldības rīcībā esošās biroja tehnik</w:t>
      </w:r>
      <w:r w:rsidR="00594C50">
        <w:rPr>
          <w:rFonts w:eastAsia="Times New Roman"/>
          <w:sz w:val="20"/>
          <w:szCs w:val="20"/>
          <w:lang w:eastAsia="ar-SA"/>
        </w:rPr>
        <w:t>as apkalpošana un remonta darbi</w:t>
      </w:r>
    </w:p>
    <w:p w14:paraId="1B6A0887" w14:textId="4601CD4C" w:rsidR="007577B9" w:rsidRPr="00594C50" w:rsidRDefault="007577B9" w:rsidP="00594C50">
      <w:pPr>
        <w:jc w:val="right"/>
        <w:rPr>
          <w:rFonts w:eastAsia="Times New Roman"/>
          <w:sz w:val="20"/>
          <w:szCs w:val="20"/>
          <w:lang w:eastAsia="ar-SA"/>
        </w:rPr>
      </w:pPr>
      <w:r w:rsidRPr="00594C50">
        <w:rPr>
          <w:rFonts w:eastAsia="Times New Roman"/>
          <w:sz w:val="20"/>
          <w:szCs w:val="20"/>
          <w:lang w:eastAsia="ar-SA"/>
        </w:rPr>
        <w:t>pēc nepieciešamības”</w:t>
      </w:r>
      <w:r w:rsidRPr="00594C50">
        <w:rPr>
          <w:bCs/>
          <w:sz w:val="20"/>
          <w:szCs w:val="20"/>
        </w:rPr>
        <w:t xml:space="preserve">, identifikācijas Nr. </w:t>
      </w:r>
      <w:proofErr w:type="spellStart"/>
      <w:r w:rsidRPr="00594C50">
        <w:rPr>
          <w:bCs/>
          <w:sz w:val="20"/>
          <w:szCs w:val="20"/>
        </w:rPr>
        <w:t>TNPz</w:t>
      </w:r>
      <w:proofErr w:type="spellEnd"/>
      <w:r w:rsidRPr="00594C50">
        <w:rPr>
          <w:bCs/>
          <w:sz w:val="20"/>
          <w:szCs w:val="20"/>
        </w:rPr>
        <w:t xml:space="preserve"> 2025/135</w:t>
      </w:r>
    </w:p>
    <w:p w14:paraId="5FDE090E" w14:textId="77777777" w:rsidR="007577B9" w:rsidRDefault="007577B9" w:rsidP="00D014B1">
      <w:pPr>
        <w:widowControl/>
        <w:suppressAutoHyphens w:val="0"/>
        <w:jc w:val="center"/>
        <w:rPr>
          <w:rFonts w:eastAsia="Times New Roman"/>
          <w:sz w:val="22"/>
          <w:szCs w:val="22"/>
          <w:lang w:eastAsia="ar-SA"/>
        </w:rPr>
      </w:pPr>
    </w:p>
    <w:p w14:paraId="6EB9A6F2" w14:textId="77777777" w:rsidR="00750E53" w:rsidRPr="00594C50" w:rsidRDefault="00750E53" w:rsidP="00750E53">
      <w:pPr>
        <w:jc w:val="center"/>
        <w:rPr>
          <w:b/>
          <w:sz w:val="22"/>
          <w:szCs w:val="22"/>
        </w:rPr>
      </w:pPr>
      <w:r w:rsidRPr="00594C50">
        <w:rPr>
          <w:b/>
          <w:sz w:val="22"/>
          <w:szCs w:val="22"/>
        </w:rPr>
        <w:t>Tehniskā specifikācija</w:t>
      </w:r>
    </w:p>
    <w:p w14:paraId="198474B3" w14:textId="77777777" w:rsidR="00594C50" w:rsidRDefault="00594C50" w:rsidP="007577B9">
      <w:pPr>
        <w:ind w:firstLine="360"/>
        <w:rPr>
          <w:rFonts w:cs="Times New Roman"/>
          <w:sz w:val="22"/>
          <w:szCs w:val="22"/>
        </w:rPr>
      </w:pPr>
    </w:p>
    <w:p w14:paraId="77488E74" w14:textId="77777777" w:rsidR="00253007" w:rsidRPr="00594C50" w:rsidRDefault="000F043E" w:rsidP="007577B9">
      <w:pPr>
        <w:ind w:firstLine="360"/>
        <w:rPr>
          <w:rFonts w:cs="Times New Roman"/>
          <w:sz w:val="22"/>
          <w:szCs w:val="22"/>
        </w:rPr>
      </w:pPr>
      <w:r w:rsidRPr="00594C50">
        <w:rPr>
          <w:rFonts w:cs="Times New Roman"/>
          <w:sz w:val="22"/>
          <w:szCs w:val="22"/>
        </w:rPr>
        <w:t>Piedāvātais pakalpojuma nodrošinājums  (jānorāda – NODROŠINA/NENODROŠINA un pakalpojuma sniegšanas laiks stundās)</w:t>
      </w:r>
    </w:p>
    <w:p w14:paraId="358DF127" w14:textId="1E7C4923" w:rsidR="00253007" w:rsidRPr="00594C50" w:rsidRDefault="00253007" w:rsidP="00614C60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color w:val="000000"/>
          <w:sz w:val="22"/>
          <w:szCs w:val="22"/>
          <w:lang w:eastAsia="lv-LV"/>
        </w:rPr>
        <w:t>Izpildītājs ar saviem darba rīkiem, ierīcē</w:t>
      </w:r>
      <w:r w:rsidR="007577B9" w:rsidRPr="00594C50">
        <w:rPr>
          <w:rFonts w:cs="Times New Roman"/>
          <w:color w:val="000000"/>
          <w:sz w:val="22"/>
          <w:szCs w:val="22"/>
          <w:lang w:eastAsia="lv-LV"/>
        </w:rPr>
        <w:t>m un materiāliem apņemas veikt p</w:t>
      </w:r>
      <w:r w:rsidRPr="00594C50">
        <w:rPr>
          <w:rFonts w:cs="Times New Roman"/>
          <w:color w:val="000000"/>
          <w:sz w:val="22"/>
          <w:szCs w:val="22"/>
          <w:lang w:eastAsia="lv-LV"/>
        </w:rPr>
        <w:t>asūtītāja uzturēš</w:t>
      </w:r>
      <w:r w:rsidRPr="00594C50">
        <w:rPr>
          <w:rFonts w:cs="Times New Roman"/>
          <w:color w:val="000000"/>
          <w:sz w:val="22"/>
          <w:szCs w:val="22"/>
          <w:lang w:eastAsia="lv-LV"/>
        </w:rPr>
        <w:t>a</w:t>
      </w:r>
      <w:r w:rsidRPr="00594C50">
        <w:rPr>
          <w:rFonts w:cs="Times New Roman"/>
          <w:color w:val="000000"/>
          <w:sz w:val="22"/>
          <w:szCs w:val="22"/>
          <w:lang w:eastAsia="lv-LV"/>
        </w:rPr>
        <w:t>nā esošo drukas iekārtu (turpmāk – Iekārta/-as) bojājumu diagnostiku un r</w:t>
      </w:r>
      <w:r w:rsidR="007577B9" w:rsidRPr="00594C50">
        <w:rPr>
          <w:rFonts w:cs="Times New Roman"/>
          <w:color w:val="000000"/>
          <w:sz w:val="22"/>
          <w:szCs w:val="22"/>
          <w:lang w:eastAsia="lv-LV"/>
        </w:rPr>
        <w:t>emontu (turpmāk – P</w:t>
      </w:r>
      <w:r w:rsidR="007577B9" w:rsidRPr="00594C50">
        <w:rPr>
          <w:rFonts w:cs="Times New Roman"/>
          <w:color w:val="000000"/>
          <w:sz w:val="22"/>
          <w:szCs w:val="22"/>
          <w:lang w:eastAsia="lv-LV"/>
        </w:rPr>
        <w:t>a</w:t>
      </w:r>
      <w:r w:rsidR="007577B9" w:rsidRPr="00594C50">
        <w:rPr>
          <w:rFonts w:cs="Times New Roman"/>
          <w:color w:val="000000"/>
          <w:sz w:val="22"/>
          <w:szCs w:val="22"/>
          <w:lang w:eastAsia="lv-LV"/>
        </w:rPr>
        <w:t>kalpojums) p</w:t>
      </w:r>
      <w:r w:rsidRPr="00594C50">
        <w:rPr>
          <w:rFonts w:cs="Times New Roman"/>
          <w:color w:val="000000"/>
          <w:sz w:val="22"/>
          <w:szCs w:val="22"/>
          <w:lang w:eastAsia="lv-LV"/>
        </w:rPr>
        <w:t>asūtītāja norādītajās Iekārtu atrašanās vietās. Pakalpojuma sniegšanas valoda – latviešu.</w:t>
      </w:r>
    </w:p>
    <w:p w14:paraId="21692622" w14:textId="77777777" w:rsidR="00253007" w:rsidRPr="00594C50" w:rsidRDefault="00253007" w:rsidP="00614C60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color w:val="000000"/>
          <w:sz w:val="22"/>
          <w:szCs w:val="22"/>
          <w:lang w:eastAsia="lv-LV"/>
        </w:rPr>
        <w:t>Iekārtas remontu darbos ietilpst:</w:t>
      </w:r>
    </w:p>
    <w:p w14:paraId="59E8AC55" w14:textId="77777777" w:rsidR="00253007" w:rsidRPr="00594C50" w:rsidRDefault="00253007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color w:val="000000"/>
          <w:sz w:val="22"/>
          <w:szCs w:val="22"/>
          <w:lang w:eastAsia="lv-LV"/>
        </w:rPr>
        <w:t>bojājumu diagnosticēšana;</w:t>
      </w:r>
    </w:p>
    <w:p w14:paraId="4E282BBE" w14:textId="77777777" w:rsidR="00253007" w:rsidRPr="00594C50" w:rsidRDefault="00253007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color w:val="000000"/>
          <w:sz w:val="22"/>
          <w:szCs w:val="22"/>
          <w:lang w:eastAsia="lv-LV"/>
        </w:rPr>
        <w:t>bojājumu novēršana;</w:t>
      </w:r>
    </w:p>
    <w:p w14:paraId="6147A74C" w14:textId="77777777" w:rsidR="00486051" w:rsidRPr="00594C50" w:rsidRDefault="00253007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color w:val="000000"/>
          <w:sz w:val="22"/>
          <w:szCs w:val="22"/>
          <w:lang w:eastAsia="lv-LV"/>
        </w:rPr>
        <w:t>remontā izmantojamo materiālu (neskaitot toneri) un rezerves daļu piegāde un noma</w:t>
      </w:r>
      <w:r w:rsidRPr="00594C50">
        <w:rPr>
          <w:rFonts w:cs="Times New Roman"/>
          <w:color w:val="000000"/>
          <w:sz w:val="22"/>
          <w:szCs w:val="22"/>
          <w:lang w:eastAsia="lv-LV"/>
        </w:rPr>
        <w:t>i</w:t>
      </w:r>
      <w:r w:rsidRPr="00594C50">
        <w:rPr>
          <w:rFonts w:cs="Times New Roman"/>
          <w:color w:val="000000"/>
          <w:sz w:val="22"/>
          <w:szCs w:val="22"/>
          <w:lang w:eastAsia="lv-LV"/>
        </w:rPr>
        <w:t>ņa, nodrošinot Iekārtu uzturēšanu darba stāvoklī.</w:t>
      </w:r>
    </w:p>
    <w:p w14:paraId="23B3F624" w14:textId="1FAB716A" w:rsidR="00486051" w:rsidRPr="00594C50" w:rsidRDefault="00486051" w:rsidP="00614C60">
      <w:pPr>
        <w:pStyle w:val="Sarakstarindkopa"/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</w:rPr>
        <w:t xml:space="preserve">Iekārtu apkopēs jāiekļauj:  </w:t>
      </w:r>
    </w:p>
    <w:p w14:paraId="285F89E5" w14:textId="210E8F18" w:rsidR="00486051" w:rsidRPr="00594C50" w:rsidRDefault="00486051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</w:rPr>
        <w:t>mehānisko mezglu tīrīšana/diagnostika</w:t>
      </w:r>
      <w:r w:rsidR="007577B9" w:rsidRPr="00594C50">
        <w:rPr>
          <w:rFonts w:cs="Times New Roman"/>
          <w:sz w:val="22"/>
          <w:szCs w:val="22"/>
        </w:rPr>
        <w:t>;</w:t>
      </w:r>
    </w:p>
    <w:p w14:paraId="722F8D77" w14:textId="46945B38" w:rsidR="00486051" w:rsidRPr="00594C50" w:rsidRDefault="00486051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</w:rPr>
        <w:t>papīra padeves mehānisma tīrīšana/ diagnostika</w:t>
      </w:r>
      <w:r w:rsidR="007577B9" w:rsidRPr="00594C50">
        <w:rPr>
          <w:rFonts w:cs="Times New Roman"/>
          <w:sz w:val="22"/>
          <w:szCs w:val="22"/>
        </w:rPr>
        <w:t>;</w:t>
      </w:r>
    </w:p>
    <w:p w14:paraId="7DDA6AD1" w14:textId="447C4278" w:rsidR="00486051" w:rsidRPr="00594C50" w:rsidRDefault="00486051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</w:rPr>
        <w:t>drukas iekārtas tīrīšana no iekšpuses/ārpuses</w:t>
      </w:r>
      <w:r w:rsidR="007577B9" w:rsidRPr="00594C50">
        <w:rPr>
          <w:rFonts w:cs="Times New Roman"/>
          <w:sz w:val="22"/>
          <w:szCs w:val="22"/>
        </w:rPr>
        <w:t>;</w:t>
      </w:r>
    </w:p>
    <w:p w14:paraId="67534A6B" w14:textId="6E0EC83D" w:rsidR="00486051" w:rsidRPr="00594C50" w:rsidRDefault="00486051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</w:rPr>
        <w:t>drukas iekārtas pilna diagnostika</w:t>
      </w:r>
      <w:r w:rsidR="007577B9" w:rsidRPr="00594C50">
        <w:rPr>
          <w:rFonts w:cs="Times New Roman"/>
          <w:sz w:val="22"/>
          <w:szCs w:val="22"/>
        </w:rPr>
        <w:t>;</w:t>
      </w:r>
      <w:bookmarkStart w:id="0" w:name="_GoBack"/>
      <w:bookmarkEnd w:id="0"/>
    </w:p>
    <w:p w14:paraId="73E35663" w14:textId="4824B369" w:rsidR="00486051" w:rsidRPr="00594C50" w:rsidRDefault="00486051" w:rsidP="00614C60">
      <w:pPr>
        <w:widowControl/>
        <w:numPr>
          <w:ilvl w:val="2"/>
          <w:numId w:val="3"/>
        </w:numPr>
        <w:suppressAutoHyphens w:val="0"/>
        <w:autoSpaceDE w:val="0"/>
        <w:autoSpaceDN w:val="0"/>
        <w:adjustRightInd w:val="0"/>
        <w:ind w:left="1418" w:right="-1" w:hanging="567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eastAsia="Times New Roman" w:cs="Times New Roman"/>
          <w:color w:val="000000"/>
          <w:sz w:val="22"/>
          <w:szCs w:val="22"/>
          <w:lang w:eastAsia="lv-LV"/>
        </w:rPr>
        <w:t>atskaite par drukas iekārtas stāvokli/ izdruku skaita uzskaite</w:t>
      </w:r>
      <w:r w:rsidR="007577B9" w:rsidRPr="00594C50">
        <w:rPr>
          <w:rFonts w:eastAsia="Times New Roman" w:cs="Times New Roman"/>
          <w:color w:val="000000"/>
          <w:sz w:val="22"/>
          <w:szCs w:val="22"/>
          <w:lang w:eastAsia="lv-LV"/>
        </w:rPr>
        <w:t>.</w:t>
      </w:r>
    </w:p>
    <w:p w14:paraId="72A076B4" w14:textId="4ADC8999" w:rsidR="00253007" w:rsidRPr="00594C50" w:rsidRDefault="007577B9" w:rsidP="00614C60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color w:val="000000"/>
          <w:sz w:val="22"/>
          <w:szCs w:val="22"/>
          <w:lang w:eastAsia="lv-LV"/>
        </w:rPr>
      </w:pPr>
      <w:r w:rsidRPr="00594C50">
        <w:rPr>
          <w:rFonts w:cs="Times New Roman"/>
          <w:color w:val="000000"/>
          <w:sz w:val="22"/>
          <w:szCs w:val="22"/>
          <w:lang w:eastAsia="lv-LV"/>
        </w:rPr>
        <w:t>Izpildītājs bez maksas p</w:t>
      </w:r>
      <w:r w:rsidR="00253007" w:rsidRPr="00594C50">
        <w:rPr>
          <w:rFonts w:cs="Times New Roman"/>
          <w:color w:val="000000"/>
          <w:sz w:val="22"/>
          <w:szCs w:val="22"/>
          <w:lang w:eastAsia="lv-LV"/>
        </w:rPr>
        <w:t>asūtītāja darba laikā no</w:t>
      </w:r>
      <w:r w:rsidRPr="00594C50">
        <w:rPr>
          <w:rFonts w:cs="Times New Roman"/>
          <w:color w:val="000000"/>
          <w:sz w:val="22"/>
          <w:szCs w:val="22"/>
          <w:lang w:eastAsia="lv-LV"/>
        </w:rPr>
        <w:t>drošina konsultāciju sniegšanu p</w:t>
      </w:r>
      <w:r w:rsidR="00253007" w:rsidRPr="00594C50">
        <w:rPr>
          <w:rFonts w:cs="Times New Roman"/>
          <w:color w:val="000000"/>
          <w:sz w:val="22"/>
          <w:szCs w:val="22"/>
          <w:lang w:eastAsia="lv-LV"/>
        </w:rPr>
        <w:t>asūtītāja da</w:t>
      </w:r>
      <w:r w:rsidR="00253007" w:rsidRPr="00594C50">
        <w:rPr>
          <w:rFonts w:cs="Times New Roman"/>
          <w:color w:val="000000"/>
          <w:sz w:val="22"/>
          <w:szCs w:val="22"/>
          <w:lang w:eastAsia="lv-LV"/>
        </w:rPr>
        <w:t>r</w:t>
      </w:r>
      <w:r w:rsidR="00253007" w:rsidRPr="00594C50">
        <w:rPr>
          <w:rFonts w:cs="Times New Roman"/>
          <w:color w:val="000000"/>
          <w:sz w:val="22"/>
          <w:szCs w:val="22"/>
          <w:lang w:eastAsia="lv-LV"/>
        </w:rPr>
        <w:t>biniekiem Iekārtu ekspluatācijas jautājumos pa tālruni _____________.</w:t>
      </w:r>
    </w:p>
    <w:p w14:paraId="07A22E15" w14:textId="58636A46" w:rsidR="00253007" w:rsidRPr="00594C50" w:rsidRDefault="00253007" w:rsidP="00614C60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  <w:lang w:eastAsia="lv-LV"/>
        </w:rPr>
        <w:t>Izpildītājs nodrošina, ka P</w:t>
      </w:r>
      <w:r w:rsidR="007577B9" w:rsidRPr="00594C50">
        <w:rPr>
          <w:rFonts w:cs="Times New Roman"/>
          <w:sz w:val="22"/>
          <w:szCs w:val="22"/>
          <w:lang w:eastAsia="lv-LV"/>
        </w:rPr>
        <w:t>akalpojuma izpildē iesaistītie i</w:t>
      </w:r>
      <w:r w:rsidRPr="00594C50">
        <w:rPr>
          <w:rFonts w:cs="Times New Roman"/>
          <w:sz w:val="22"/>
          <w:szCs w:val="22"/>
          <w:lang w:eastAsia="lv-LV"/>
        </w:rPr>
        <w:t>zpildītāja darbinieki ir apmācīti veikt Iekārtu bojājumu noteikšanu un remontu.</w:t>
      </w:r>
    </w:p>
    <w:p w14:paraId="0C071AF7" w14:textId="30571AAD" w:rsidR="00253007" w:rsidRPr="00594C50" w:rsidRDefault="00253007" w:rsidP="00614C60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sz w:val="22"/>
          <w:szCs w:val="22"/>
          <w:lang w:eastAsia="lv-LV"/>
        </w:rPr>
      </w:pPr>
      <w:r w:rsidRPr="00594C50">
        <w:rPr>
          <w:rFonts w:cs="Times New Roman"/>
          <w:sz w:val="22"/>
          <w:szCs w:val="22"/>
          <w:lang w:eastAsia="lv-LV"/>
        </w:rPr>
        <w:t>Iekārtu remontos tiek izmantoti materiāli un detaļas, kas atbilst spēkā esošajiem Latvijas R</w:t>
      </w:r>
      <w:r w:rsidRPr="00594C50">
        <w:rPr>
          <w:rFonts w:cs="Times New Roman"/>
          <w:sz w:val="22"/>
          <w:szCs w:val="22"/>
          <w:lang w:eastAsia="lv-LV"/>
        </w:rPr>
        <w:t>e</w:t>
      </w:r>
      <w:r w:rsidRPr="00594C50">
        <w:rPr>
          <w:rFonts w:cs="Times New Roman"/>
          <w:sz w:val="22"/>
          <w:szCs w:val="22"/>
          <w:lang w:eastAsia="lv-LV"/>
        </w:rPr>
        <w:t>publikas normatīvajiem aktiem, attiecīgās Iekārtas ražotāja standartiem un tehniskajiem n</w:t>
      </w:r>
      <w:r w:rsidRPr="00594C50">
        <w:rPr>
          <w:rFonts w:cs="Times New Roman"/>
          <w:sz w:val="22"/>
          <w:szCs w:val="22"/>
          <w:lang w:eastAsia="lv-LV"/>
        </w:rPr>
        <w:t>o</w:t>
      </w:r>
      <w:r w:rsidRPr="00594C50">
        <w:rPr>
          <w:rFonts w:cs="Times New Roman"/>
          <w:sz w:val="22"/>
          <w:szCs w:val="22"/>
          <w:lang w:eastAsia="lv-LV"/>
        </w:rPr>
        <w:t>teikumiem.</w:t>
      </w:r>
    </w:p>
    <w:p w14:paraId="59243F65" w14:textId="2796823C" w:rsidR="00814872" w:rsidRPr="00594C50" w:rsidRDefault="00253007" w:rsidP="00614C60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right="-1"/>
        <w:jc w:val="both"/>
        <w:rPr>
          <w:rFonts w:cs="Times New Roman"/>
          <w:sz w:val="22"/>
          <w:szCs w:val="22"/>
          <w:shd w:val="clear" w:color="auto" w:fill="FFFF00"/>
        </w:rPr>
      </w:pPr>
      <w:bookmarkStart w:id="1" w:name="_Ref505006526"/>
      <w:r w:rsidRPr="00594C50">
        <w:rPr>
          <w:rFonts w:cs="Times New Roman"/>
          <w:sz w:val="22"/>
          <w:szCs w:val="22"/>
          <w:lang w:eastAsia="lv-LV"/>
        </w:rPr>
        <w:t xml:space="preserve">Izpildītājs garantē sniegto pakalpojumu kvalitāti un uzstādīto rezerves daļu darbspēju </w:t>
      </w:r>
      <w:r w:rsidRPr="00594C50">
        <w:rPr>
          <w:rFonts w:cs="Times New Roman"/>
          <w:b/>
          <w:sz w:val="22"/>
          <w:szCs w:val="22"/>
          <w:lang w:eastAsia="lv-LV"/>
        </w:rPr>
        <w:t>12 (divpadsmit) mēnešus</w:t>
      </w:r>
      <w:r w:rsidRPr="00594C50">
        <w:rPr>
          <w:rFonts w:cs="Times New Roman"/>
          <w:sz w:val="22"/>
          <w:szCs w:val="22"/>
          <w:lang w:eastAsia="lv-LV"/>
        </w:rPr>
        <w:t xml:space="preserve"> no Iekārtas remonta nodošanas – pieņemšanas akta abpusējas para</w:t>
      </w:r>
      <w:r w:rsidRPr="00594C50">
        <w:rPr>
          <w:rFonts w:cs="Times New Roman"/>
          <w:sz w:val="22"/>
          <w:szCs w:val="22"/>
          <w:lang w:eastAsia="lv-LV"/>
        </w:rPr>
        <w:t>k</w:t>
      </w:r>
      <w:r w:rsidRPr="00594C50">
        <w:rPr>
          <w:rFonts w:cs="Times New Roman"/>
          <w:sz w:val="22"/>
          <w:szCs w:val="22"/>
          <w:lang w:eastAsia="lv-LV"/>
        </w:rPr>
        <w:t>stīšanas dienas. Ja kādai no Pakalpojumu sniegšanā izmantotajām detaļām Iekārtas ražotājs ir noteicis ierobežotu lietošanas resursu, garantija uz šo detaļu ir spēkā, līdz tiek izsmelts ražot</w:t>
      </w:r>
      <w:r w:rsidRPr="00594C50">
        <w:rPr>
          <w:rFonts w:cs="Times New Roman"/>
          <w:sz w:val="22"/>
          <w:szCs w:val="22"/>
          <w:lang w:eastAsia="lv-LV"/>
        </w:rPr>
        <w:t>ā</w:t>
      </w:r>
      <w:r w:rsidRPr="00594C50">
        <w:rPr>
          <w:rFonts w:cs="Times New Roman"/>
          <w:sz w:val="22"/>
          <w:szCs w:val="22"/>
          <w:lang w:eastAsia="lv-LV"/>
        </w:rPr>
        <w:t>ja notei</w:t>
      </w:r>
      <w:r w:rsidRPr="00594C50">
        <w:rPr>
          <w:rFonts w:cs="Times New Roman"/>
          <w:sz w:val="22"/>
          <w:szCs w:val="22"/>
          <w:lang w:eastAsia="lv-LV"/>
        </w:rPr>
        <w:t>k</w:t>
      </w:r>
      <w:r w:rsidRPr="00594C50">
        <w:rPr>
          <w:rFonts w:cs="Times New Roman"/>
          <w:sz w:val="22"/>
          <w:szCs w:val="22"/>
          <w:lang w:eastAsia="lv-LV"/>
        </w:rPr>
        <w:t>tais detaļas lietošanas resurss.</w:t>
      </w:r>
      <w:bookmarkEnd w:id="1"/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4191"/>
        <w:gridCol w:w="2418"/>
        <w:gridCol w:w="1923"/>
      </w:tblGrid>
      <w:tr w:rsidR="00814872" w:rsidRPr="00594C50" w14:paraId="138C1F86" w14:textId="77777777" w:rsidTr="007577B9">
        <w:tc>
          <w:tcPr>
            <w:tcW w:w="6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0E6CC" w14:textId="77777777" w:rsidR="00814872" w:rsidRPr="00594C50" w:rsidRDefault="000F043E" w:rsidP="007577B9">
            <w:pPr>
              <w:pStyle w:val="Saturardtj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4C50">
              <w:rPr>
                <w:rFonts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5DC30988" w14:textId="77777777" w:rsidR="00814872" w:rsidRPr="00594C50" w:rsidRDefault="000F043E" w:rsidP="007577B9">
            <w:pPr>
              <w:pStyle w:val="Saturardtj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4C50">
              <w:rPr>
                <w:rFonts w:cs="Times New Roman"/>
                <w:b/>
                <w:sz w:val="20"/>
                <w:szCs w:val="20"/>
              </w:rPr>
              <w:t>Pakalpojums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E51960D" w14:textId="77777777" w:rsidR="00814872" w:rsidRPr="00594C50" w:rsidRDefault="000F043E" w:rsidP="007577B9">
            <w:pPr>
              <w:pStyle w:val="Saturardtjs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4C50">
              <w:rPr>
                <w:rFonts w:cs="Times New Roman"/>
                <w:b/>
                <w:sz w:val="20"/>
                <w:szCs w:val="20"/>
              </w:rPr>
              <w:t>Nodrošina/nenodrošina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63CED" w14:textId="77777777" w:rsidR="00814872" w:rsidRPr="00594C50" w:rsidRDefault="000F043E" w:rsidP="007577B9">
            <w:pPr>
              <w:pStyle w:val="Saturardtjs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4C50">
              <w:rPr>
                <w:rFonts w:cs="Times New Roman"/>
                <w:b/>
                <w:sz w:val="20"/>
                <w:szCs w:val="20"/>
              </w:rPr>
              <w:t>Pakalpoj</w:t>
            </w:r>
            <w:r w:rsidR="00D014B1" w:rsidRPr="00594C50">
              <w:rPr>
                <w:rFonts w:cs="Times New Roman"/>
                <w:b/>
                <w:sz w:val="20"/>
                <w:szCs w:val="20"/>
              </w:rPr>
              <w:t>u</w:t>
            </w:r>
            <w:r w:rsidRPr="00594C50">
              <w:rPr>
                <w:rFonts w:cs="Times New Roman"/>
                <w:b/>
                <w:sz w:val="20"/>
                <w:szCs w:val="20"/>
              </w:rPr>
              <w:t>ma sniegšanas laiks (h)</w:t>
            </w:r>
          </w:p>
        </w:tc>
      </w:tr>
      <w:tr w:rsidR="00D014B1" w:rsidRPr="00594C50" w14:paraId="083C806A" w14:textId="77777777" w:rsidTr="002651AB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A21FD7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43AC2B82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Iekārtu remonts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0E011B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6D0" w14:textId="77777777" w:rsidR="00D014B1" w:rsidRPr="00594C50" w:rsidRDefault="00D014B1" w:rsidP="00D014B1">
            <w:pPr>
              <w:widowControl/>
              <w:rPr>
                <w:rFonts w:cs="Times New Roman"/>
                <w:sz w:val="20"/>
                <w:szCs w:val="20"/>
              </w:rPr>
            </w:pPr>
          </w:p>
        </w:tc>
      </w:tr>
      <w:tr w:rsidR="00814872" w:rsidRPr="00594C50" w14:paraId="29F4D20E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1417147D" w14:textId="77777777" w:rsidR="00814872" w:rsidRPr="00594C50" w:rsidRDefault="000F043E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5479B8CE" w14:textId="77777777" w:rsidR="00814872" w:rsidRPr="00594C50" w:rsidRDefault="000F043E" w:rsidP="00623151">
            <w:pPr>
              <w:pStyle w:val="Saturardtjs"/>
              <w:ind w:left="-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Iekārtu novērtēšana/ diagnostika (no pieteikšanas brīža)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</w:tcBorders>
          </w:tcPr>
          <w:p w14:paraId="5CB395EB" w14:textId="77777777" w:rsidR="00814872" w:rsidRPr="00594C50" w:rsidRDefault="00814872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B4577" w14:textId="77777777" w:rsidR="00814872" w:rsidRPr="00594C50" w:rsidRDefault="00814872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76BAA593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302B2540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0240CAA4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Iekārtu profilaktiskās apkopes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AAA683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428" w14:textId="77777777" w:rsidR="00D014B1" w:rsidRPr="00594C50" w:rsidRDefault="00D014B1" w:rsidP="00D014B1">
            <w:pPr>
              <w:widowControl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29B2436A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716EEE43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47B775E7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Tehnikas aizstāšana uz remonta laiku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32F89B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C69" w14:textId="77777777" w:rsidR="00D014B1" w:rsidRPr="00594C50" w:rsidRDefault="00D014B1" w:rsidP="00D014B1">
            <w:pPr>
              <w:widowControl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29C3197A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36D106FC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0C05C459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Remontu izsaukums Talsu pilsētā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</w:tcBorders>
          </w:tcPr>
          <w:p w14:paraId="544A32CB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72E2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2199D4B1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3CB51AD6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0AD36275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Remontu izsaukums Talsu novada teritorijā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</w:tcBorders>
          </w:tcPr>
          <w:p w14:paraId="6A74C664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EAC2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57576FBB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25815754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6E0000DD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Preču piegāde Talsu pilsētā – bez maksas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</w:tcBorders>
          </w:tcPr>
          <w:p w14:paraId="112E05D7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BDC8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40A86523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50663D1D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7D4355C0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Preču piegāde Talsu novada teritorijā – bez maksas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</w:tcBorders>
          </w:tcPr>
          <w:p w14:paraId="1B3DAD40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2587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4B1" w:rsidRPr="00594C50" w14:paraId="46BDA91E" w14:textId="77777777" w:rsidTr="002651AB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173CD94B" w14:textId="77777777" w:rsidR="00D014B1" w:rsidRPr="00594C50" w:rsidRDefault="00D014B1" w:rsidP="00D014B1">
            <w:pPr>
              <w:pStyle w:val="Saturardtjs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</w:tcPr>
          <w:p w14:paraId="1468C31A" w14:textId="77777777" w:rsidR="00D014B1" w:rsidRPr="00594C50" w:rsidRDefault="00D014B1" w:rsidP="00623151">
            <w:pPr>
              <w:pStyle w:val="Saturardtjs"/>
              <w:ind w:hanging="32"/>
              <w:rPr>
                <w:rFonts w:cs="Times New Roman"/>
                <w:sz w:val="20"/>
                <w:szCs w:val="20"/>
              </w:rPr>
            </w:pPr>
            <w:r w:rsidRPr="00594C50">
              <w:rPr>
                <w:rFonts w:cs="Times New Roman"/>
                <w:sz w:val="20"/>
                <w:szCs w:val="20"/>
              </w:rPr>
              <w:t>Tehnikas pieņemšana un nodošana uz utilizāciju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118069" w14:textId="77777777" w:rsidR="00D014B1" w:rsidRPr="00594C50" w:rsidRDefault="00D014B1" w:rsidP="00D014B1">
            <w:pPr>
              <w:pStyle w:val="Saturardtj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5F4" w14:textId="77777777" w:rsidR="00D014B1" w:rsidRPr="00594C50" w:rsidRDefault="00D014B1" w:rsidP="00D014B1">
            <w:pPr>
              <w:widowControl/>
              <w:rPr>
                <w:rFonts w:cs="Times New Roman"/>
                <w:sz w:val="20"/>
                <w:szCs w:val="20"/>
              </w:rPr>
            </w:pPr>
          </w:p>
        </w:tc>
      </w:tr>
    </w:tbl>
    <w:p w14:paraId="3BC34892" w14:textId="77777777" w:rsidR="00814872" w:rsidRPr="00594C50" w:rsidRDefault="00814872">
      <w:pPr>
        <w:rPr>
          <w:rFonts w:ascii="Tahoma" w:hAnsi="Tahoma" w:cs="Liberation Serif"/>
          <w:sz w:val="22"/>
          <w:szCs w:val="22"/>
        </w:rPr>
      </w:pPr>
    </w:p>
    <w:p w14:paraId="2B768984" w14:textId="4FD5C302" w:rsidR="007713DD" w:rsidRPr="00594C50" w:rsidRDefault="007713DD" w:rsidP="007713DD">
      <w:pPr>
        <w:jc w:val="both"/>
        <w:rPr>
          <w:rFonts w:eastAsia="Calibri" w:cs="Times New Roman"/>
          <w:bCs/>
          <w:i/>
          <w:iCs/>
          <w:kern w:val="0"/>
          <w:sz w:val="20"/>
          <w:szCs w:val="20"/>
          <w:lang w:eastAsia="lv-LV" w:bidi="ar-SA"/>
        </w:rPr>
      </w:pPr>
      <w:r w:rsidRPr="00594C50">
        <w:rPr>
          <w:rFonts w:eastAsia="Calibri"/>
          <w:bCs/>
          <w:i/>
          <w:iCs/>
          <w:sz w:val="20"/>
          <w:szCs w:val="20"/>
          <w:lang w:eastAsia="lv-LV"/>
        </w:rPr>
        <w:t>Tehnisko specifikāciju sagatavoja:</w:t>
      </w:r>
    </w:p>
    <w:p w14:paraId="7D864B11" w14:textId="77777777" w:rsidR="007713DD" w:rsidRPr="00594C50" w:rsidRDefault="007713DD" w:rsidP="007713DD">
      <w:pPr>
        <w:jc w:val="both"/>
        <w:rPr>
          <w:rFonts w:eastAsia="Calibri"/>
          <w:bCs/>
          <w:i/>
          <w:iCs/>
          <w:sz w:val="20"/>
          <w:szCs w:val="20"/>
          <w:lang w:eastAsia="lv-LV"/>
        </w:rPr>
      </w:pPr>
      <w:r w:rsidRPr="00594C50">
        <w:rPr>
          <w:rFonts w:eastAsia="Calibri"/>
          <w:bCs/>
          <w:i/>
          <w:iCs/>
          <w:sz w:val="20"/>
          <w:szCs w:val="20"/>
          <w:lang w:eastAsia="lv-LV"/>
        </w:rPr>
        <w:t>Talsu novada pašvaldības</w:t>
      </w:r>
    </w:p>
    <w:p w14:paraId="4F1BCC14" w14:textId="77777777" w:rsidR="007577B9" w:rsidRPr="00594C50" w:rsidRDefault="007713DD" w:rsidP="007713DD">
      <w:pPr>
        <w:jc w:val="both"/>
        <w:rPr>
          <w:rFonts w:eastAsia="Calibri"/>
          <w:bCs/>
          <w:i/>
          <w:iCs/>
          <w:sz w:val="20"/>
          <w:szCs w:val="20"/>
          <w:lang w:eastAsia="lv-LV"/>
        </w:rPr>
      </w:pPr>
      <w:r w:rsidRPr="00594C50">
        <w:rPr>
          <w:rFonts w:eastAsia="Calibri"/>
          <w:bCs/>
          <w:i/>
          <w:iCs/>
          <w:sz w:val="20"/>
          <w:szCs w:val="20"/>
          <w:lang w:eastAsia="lv-LV"/>
        </w:rPr>
        <w:t xml:space="preserve">Informācijas tehnoloģiju nodaļas </w:t>
      </w:r>
      <w:r w:rsidR="00750E53" w:rsidRPr="00594C50">
        <w:rPr>
          <w:rFonts w:eastAsia="Calibri"/>
          <w:bCs/>
          <w:i/>
          <w:iCs/>
          <w:sz w:val="20"/>
          <w:szCs w:val="20"/>
          <w:lang w:eastAsia="lv-LV"/>
        </w:rPr>
        <w:t>galvenais IKT administrators</w:t>
      </w:r>
    </w:p>
    <w:p w14:paraId="23FABB45" w14:textId="7870EB36" w:rsidR="007713DD" w:rsidRPr="00594C50" w:rsidRDefault="007713DD" w:rsidP="007713DD">
      <w:pPr>
        <w:jc w:val="both"/>
        <w:rPr>
          <w:rFonts w:eastAsia="Calibri"/>
          <w:bCs/>
          <w:i/>
          <w:iCs/>
          <w:sz w:val="20"/>
          <w:szCs w:val="20"/>
          <w:lang w:eastAsia="lv-LV"/>
        </w:rPr>
      </w:pPr>
      <w:r w:rsidRPr="00594C50">
        <w:rPr>
          <w:rFonts w:eastAsia="Calibri"/>
          <w:bCs/>
          <w:i/>
          <w:iCs/>
          <w:sz w:val="20"/>
          <w:szCs w:val="20"/>
          <w:lang w:eastAsia="lv-LV"/>
        </w:rPr>
        <w:t xml:space="preserve">Jānis </w:t>
      </w:r>
      <w:proofErr w:type="spellStart"/>
      <w:r w:rsidRPr="00594C50">
        <w:rPr>
          <w:rFonts w:eastAsia="Calibri"/>
          <w:bCs/>
          <w:i/>
          <w:iCs/>
          <w:sz w:val="20"/>
          <w:szCs w:val="20"/>
          <w:lang w:eastAsia="lv-LV"/>
        </w:rPr>
        <w:t>Kārklevalks</w:t>
      </w:r>
      <w:proofErr w:type="spellEnd"/>
    </w:p>
    <w:p w14:paraId="64EF15B7" w14:textId="6AEEC270" w:rsidR="007713DD" w:rsidRPr="00594C50" w:rsidRDefault="00750E53" w:rsidP="007713DD">
      <w:pPr>
        <w:rPr>
          <w:rFonts w:eastAsia="Calibri"/>
          <w:bCs/>
          <w:i/>
          <w:iCs/>
          <w:sz w:val="20"/>
          <w:szCs w:val="20"/>
          <w:lang w:eastAsia="lv-LV"/>
        </w:rPr>
      </w:pPr>
      <w:r w:rsidRPr="00594C50">
        <w:rPr>
          <w:rFonts w:eastAsia="Calibri"/>
          <w:bCs/>
          <w:i/>
          <w:iCs/>
          <w:sz w:val="20"/>
          <w:szCs w:val="20"/>
          <w:lang w:eastAsia="lv-LV"/>
        </w:rPr>
        <w:t>11</w:t>
      </w:r>
      <w:r w:rsidR="007713DD" w:rsidRPr="00594C50">
        <w:rPr>
          <w:rFonts w:eastAsia="Calibri"/>
          <w:bCs/>
          <w:i/>
          <w:iCs/>
          <w:sz w:val="20"/>
          <w:szCs w:val="20"/>
          <w:lang w:eastAsia="lv-LV"/>
        </w:rPr>
        <w:t>.1</w:t>
      </w:r>
      <w:r w:rsidRPr="00594C50">
        <w:rPr>
          <w:rFonts w:eastAsia="Calibri"/>
          <w:bCs/>
          <w:i/>
          <w:iCs/>
          <w:sz w:val="20"/>
          <w:szCs w:val="20"/>
          <w:lang w:eastAsia="lv-LV"/>
        </w:rPr>
        <w:t>1</w:t>
      </w:r>
      <w:r w:rsidR="007713DD" w:rsidRPr="00594C50">
        <w:rPr>
          <w:rFonts w:eastAsia="Calibri"/>
          <w:bCs/>
          <w:i/>
          <w:iCs/>
          <w:sz w:val="20"/>
          <w:szCs w:val="20"/>
          <w:lang w:eastAsia="lv-LV"/>
        </w:rPr>
        <w:t>.202</w:t>
      </w:r>
      <w:r w:rsidRPr="00594C50">
        <w:rPr>
          <w:rFonts w:eastAsia="Calibri"/>
          <w:bCs/>
          <w:i/>
          <w:iCs/>
          <w:sz w:val="20"/>
          <w:szCs w:val="20"/>
          <w:lang w:eastAsia="lv-LV"/>
        </w:rPr>
        <w:t>5</w:t>
      </w:r>
      <w:r w:rsidR="007713DD" w:rsidRPr="00594C50">
        <w:rPr>
          <w:rFonts w:eastAsia="Calibri"/>
          <w:bCs/>
          <w:i/>
          <w:iCs/>
          <w:sz w:val="20"/>
          <w:szCs w:val="20"/>
          <w:lang w:eastAsia="lv-LV"/>
        </w:rPr>
        <w:t>.</w:t>
      </w:r>
    </w:p>
    <w:p w14:paraId="1CB04564" w14:textId="77777777" w:rsidR="007577B9" w:rsidRPr="00594C50" w:rsidRDefault="007577B9" w:rsidP="007713DD">
      <w:pPr>
        <w:rPr>
          <w:rFonts w:eastAsiaTheme="minorHAnsi"/>
          <w:sz w:val="22"/>
          <w:szCs w:val="22"/>
          <w:lang w:eastAsia="en-US"/>
        </w:rPr>
      </w:pPr>
    </w:p>
    <w:p w14:paraId="6CF224A1" w14:textId="77777777" w:rsidR="007577B9" w:rsidRPr="00594C50" w:rsidRDefault="007577B9" w:rsidP="007577B9">
      <w:pPr>
        <w:rPr>
          <w:rFonts w:cs="Times New Roman"/>
          <w:sz w:val="22"/>
          <w:szCs w:val="22"/>
        </w:rPr>
      </w:pPr>
      <w:r w:rsidRPr="00594C50">
        <w:rPr>
          <w:rFonts w:cs="Times New Roman"/>
          <w:sz w:val="22"/>
          <w:szCs w:val="22"/>
        </w:rPr>
        <w:lastRenderedPageBreak/>
        <w:t>Ar šo Pretendents apņemas izpildīt un nodrošināt Tehniskās specifikācijas prasības.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786"/>
        <w:gridCol w:w="4501"/>
      </w:tblGrid>
      <w:tr w:rsidR="007577B9" w:rsidRPr="00594C50" w14:paraId="1044803B" w14:textId="77777777" w:rsidTr="00594C5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742136" w14:textId="77777777" w:rsidR="007577B9" w:rsidRPr="00594C50" w:rsidRDefault="007577B9" w:rsidP="00A265A4">
            <w:pPr>
              <w:suppressAutoHyphens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594C50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Vārds, uzvārds, amats</w:t>
            </w:r>
          </w:p>
          <w:p w14:paraId="222ADDAD" w14:textId="77777777" w:rsidR="007577B9" w:rsidRPr="00594C50" w:rsidRDefault="007577B9" w:rsidP="00A265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C50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>(P</w:t>
            </w:r>
            <w:r w:rsidRPr="00594C50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2F2F2" w:themeFill="background1" w:themeFillShade="F2"/>
                <w:lang w:eastAsia="ar-SA"/>
              </w:rPr>
              <w:t>retendenta pārstāvja vai tā pilnvarotās personas)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D25" w14:textId="77777777" w:rsidR="007577B9" w:rsidRPr="00594C50" w:rsidRDefault="007577B9" w:rsidP="00A265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77B9" w:rsidRPr="00594C50" w14:paraId="75441847" w14:textId="77777777" w:rsidTr="00594C50">
        <w:trPr>
          <w:trHeight w:val="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F81E78" w14:textId="77777777" w:rsidR="007577B9" w:rsidRPr="00594C50" w:rsidRDefault="007577B9" w:rsidP="00A265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4C50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Paraksts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C8F" w14:textId="77777777" w:rsidR="007577B9" w:rsidRPr="00594C50" w:rsidRDefault="007577B9" w:rsidP="00A265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C3DE4F" w14:textId="77777777" w:rsidR="00814872" w:rsidRDefault="00814872">
      <w:pPr>
        <w:rPr>
          <w:rFonts w:ascii="Tahoma" w:hAnsi="Tahoma" w:cs="Liberation Serif"/>
          <w:sz w:val="20"/>
          <w:szCs w:val="20"/>
        </w:rPr>
      </w:pPr>
    </w:p>
    <w:sectPr w:rsidR="00814872" w:rsidSect="007577B9">
      <w:headerReference w:type="default" r:id="rId8"/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383FF" w14:textId="77777777" w:rsidR="007E5A32" w:rsidRDefault="007E5A32" w:rsidP="006A23D4">
      <w:r>
        <w:separator/>
      </w:r>
    </w:p>
  </w:endnote>
  <w:endnote w:type="continuationSeparator" w:id="0">
    <w:p w14:paraId="4A4E16E5" w14:textId="77777777" w:rsidR="007E5A32" w:rsidRDefault="007E5A32" w:rsidP="006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D78D2" w14:textId="77777777" w:rsidR="007E5A32" w:rsidRDefault="007E5A32" w:rsidP="006A23D4">
      <w:r>
        <w:separator/>
      </w:r>
    </w:p>
  </w:footnote>
  <w:footnote w:type="continuationSeparator" w:id="0">
    <w:p w14:paraId="7D3952A5" w14:textId="77777777" w:rsidR="007E5A32" w:rsidRDefault="007E5A32" w:rsidP="006A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A3131" w14:textId="77777777" w:rsidR="005A1080" w:rsidRDefault="005A1080" w:rsidP="006A23D4">
    <w:pPr>
      <w:pStyle w:val="Galvene"/>
      <w:jc w:val="right"/>
      <w:rPr>
        <w:rFonts w:cs="Times New Roman"/>
        <w:sz w:val="20"/>
        <w:szCs w:val="18"/>
      </w:rPr>
    </w:pPr>
  </w:p>
  <w:p w14:paraId="4E1C8076" w14:textId="3B1244F6" w:rsidR="006A23D4" w:rsidRPr="000F043E" w:rsidRDefault="006A23D4" w:rsidP="006A23D4">
    <w:pPr>
      <w:pStyle w:val="Galvene"/>
      <w:jc w:val="right"/>
      <w:rPr>
        <w:rFonts w:cs="Times New Roman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2C4"/>
    <w:multiLevelType w:val="multilevel"/>
    <w:tmpl w:val="EDC43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1F4FB4"/>
    <w:multiLevelType w:val="multilevel"/>
    <w:tmpl w:val="2E3AD1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002274"/>
    <w:multiLevelType w:val="multilevel"/>
    <w:tmpl w:val="D17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eastAsia="lv-LV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lang w:eastAsia="lv-LV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lang w:eastAsia="lv-LV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72"/>
    <w:rsid w:val="00067E51"/>
    <w:rsid w:val="000F043E"/>
    <w:rsid w:val="00253007"/>
    <w:rsid w:val="002651AB"/>
    <w:rsid w:val="00486051"/>
    <w:rsid w:val="004D7062"/>
    <w:rsid w:val="00594C50"/>
    <w:rsid w:val="005A1080"/>
    <w:rsid w:val="00614C60"/>
    <w:rsid w:val="00623151"/>
    <w:rsid w:val="006A23D4"/>
    <w:rsid w:val="00750E53"/>
    <w:rsid w:val="007577B9"/>
    <w:rsid w:val="007713DD"/>
    <w:rsid w:val="007817F6"/>
    <w:rsid w:val="007E5A32"/>
    <w:rsid w:val="00814872"/>
    <w:rsid w:val="00A517AC"/>
    <w:rsid w:val="00BE6DC6"/>
    <w:rsid w:val="00D014B1"/>
    <w:rsid w:val="00DF6CA5"/>
    <w:rsid w:val="00F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08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23151"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OpenSymbol"/>
      <w:color w:val="000000"/>
      <w:lang w:eastAsia="lv-LV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GalveneRakstz">
    <w:name w:val="Galvene Rakstz."/>
    <w:link w:val="Galvene"/>
    <w:uiPriority w:val="99"/>
    <w:qFormat/>
    <w:rsid w:val="000D4E8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KjeneRakstz">
    <w:name w:val="Kājene Rakstz."/>
    <w:link w:val="Kjene"/>
    <w:uiPriority w:val="99"/>
    <w:qFormat/>
    <w:rsid w:val="000D4E8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/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0D4E8F"/>
    <w:pPr>
      <w:tabs>
        <w:tab w:val="center" w:pos="4153"/>
        <w:tab w:val="right" w:pos="8306"/>
      </w:tabs>
    </w:pPr>
    <w:rPr>
      <w:szCs w:val="21"/>
    </w:rPr>
  </w:style>
  <w:style w:type="paragraph" w:styleId="Kjene">
    <w:name w:val="footer"/>
    <w:basedOn w:val="Parasts"/>
    <w:link w:val="KjeneRakstz"/>
    <w:uiPriority w:val="99"/>
    <w:unhideWhenUsed/>
    <w:rsid w:val="000D4E8F"/>
    <w:pPr>
      <w:tabs>
        <w:tab w:val="center" w:pos="4153"/>
        <w:tab w:val="right" w:pos="8306"/>
      </w:tabs>
    </w:pPr>
    <w:rPr>
      <w:szCs w:val="21"/>
    </w:rPr>
  </w:style>
  <w:style w:type="paragraph" w:styleId="Sarakstarindkopa">
    <w:name w:val="List Paragraph"/>
    <w:basedOn w:val="Parasts"/>
    <w:uiPriority w:val="34"/>
    <w:qFormat/>
    <w:rsid w:val="00181EE9"/>
    <w:pPr>
      <w:ind w:left="720"/>
      <w:contextualSpacing/>
    </w:pPr>
    <w:rPr>
      <w:szCs w:val="21"/>
    </w:rPr>
  </w:style>
  <w:style w:type="table" w:styleId="Reatabula">
    <w:name w:val="Table Grid"/>
    <w:basedOn w:val="Parastatabula"/>
    <w:uiPriority w:val="39"/>
    <w:rsid w:val="007577B9"/>
    <w:pPr>
      <w:suppressAutoHyphens w:val="0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23151"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OpenSymbol"/>
      <w:color w:val="000000"/>
      <w:lang w:eastAsia="lv-LV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GalveneRakstz">
    <w:name w:val="Galvene Rakstz."/>
    <w:link w:val="Galvene"/>
    <w:uiPriority w:val="99"/>
    <w:qFormat/>
    <w:rsid w:val="000D4E8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KjeneRakstz">
    <w:name w:val="Kājene Rakstz."/>
    <w:link w:val="Kjene"/>
    <w:uiPriority w:val="99"/>
    <w:qFormat/>
    <w:rsid w:val="000D4E8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/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0D4E8F"/>
    <w:pPr>
      <w:tabs>
        <w:tab w:val="center" w:pos="4153"/>
        <w:tab w:val="right" w:pos="8306"/>
      </w:tabs>
    </w:pPr>
    <w:rPr>
      <w:szCs w:val="21"/>
    </w:rPr>
  </w:style>
  <w:style w:type="paragraph" w:styleId="Kjene">
    <w:name w:val="footer"/>
    <w:basedOn w:val="Parasts"/>
    <w:link w:val="KjeneRakstz"/>
    <w:uiPriority w:val="99"/>
    <w:unhideWhenUsed/>
    <w:rsid w:val="000D4E8F"/>
    <w:pPr>
      <w:tabs>
        <w:tab w:val="center" w:pos="4153"/>
        <w:tab w:val="right" w:pos="8306"/>
      </w:tabs>
    </w:pPr>
    <w:rPr>
      <w:szCs w:val="21"/>
    </w:rPr>
  </w:style>
  <w:style w:type="paragraph" w:styleId="Sarakstarindkopa">
    <w:name w:val="List Paragraph"/>
    <w:basedOn w:val="Parasts"/>
    <w:uiPriority w:val="34"/>
    <w:qFormat/>
    <w:rsid w:val="00181EE9"/>
    <w:pPr>
      <w:ind w:left="720"/>
      <w:contextualSpacing/>
    </w:pPr>
    <w:rPr>
      <w:szCs w:val="21"/>
    </w:rPr>
  </w:style>
  <w:style w:type="table" w:styleId="Reatabula">
    <w:name w:val="Table Grid"/>
    <w:basedOn w:val="Parastatabula"/>
    <w:uiPriority w:val="39"/>
    <w:rsid w:val="007577B9"/>
    <w:pPr>
      <w:suppressAutoHyphens w:val="0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Meijers</dc:creator>
  <dc:description/>
  <cp:lastModifiedBy>Tamāra Kaudze</cp:lastModifiedBy>
  <cp:revision>5</cp:revision>
  <cp:lastPrinted>1900-12-31T22:00:00Z</cp:lastPrinted>
  <dcterms:created xsi:type="dcterms:W3CDTF">2025-11-11T08:07:00Z</dcterms:created>
  <dcterms:modified xsi:type="dcterms:W3CDTF">2025-11-21T13:29:00Z</dcterms:modified>
  <dc:language>lv-LV</dc:language>
</cp:coreProperties>
</file>