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D593C" w:rsidRPr="00162635" w:rsidP="009D593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eastAsia="ar-SA"/>
        </w:rPr>
        <w:t>3</w:t>
      </w:r>
      <w:r w:rsidRPr="00162635">
        <w:rPr>
          <w:rFonts w:ascii="Times New Roman" w:hAnsi="Times New Roman"/>
          <w:b/>
          <w:sz w:val="20"/>
          <w:szCs w:val="20"/>
          <w:lang w:eastAsia="ar-SA"/>
        </w:rPr>
        <w:t xml:space="preserve">. pielikums </w:t>
      </w:r>
    </w:p>
    <w:p w:rsidR="009D593C" w:rsidP="009D593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Cenu aptauja</w:t>
      </w:r>
      <w:r w:rsidRPr="00162635">
        <w:rPr>
          <w:rFonts w:ascii="Times New Roman" w:hAnsi="Times New Roman"/>
          <w:sz w:val="20"/>
          <w:szCs w:val="20"/>
          <w:lang w:eastAsia="ar-SA"/>
        </w:rPr>
        <w:t xml:space="preserve"> “</w:t>
      </w:r>
      <w:r w:rsidR="008C11F9">
        <w:rPr>
          <w:rFonts w:ascii="Times New Roman" w:hAnsi="Times New Roman"/>
          <w:sz w:val="20"/>
          <w:szCs w:val="20"/>
          <w:lang w:eastAsia="ar-SA"/>
        </w:rPr>
        <w:t>Valdemārpils apvienības pārvaldes</w:t>
      </w:r>
      <w:r w:rsidRPr="00132AA7">
        <w:rPr>
          <w:rFonts w:ascii="Times New Roman" w:hAnsi="Times New Roman"/>
          <w:sz w:val="20"/>
          <w:szCs w:val="20"/>
          <w:lang w:eastAsia="ar-SA"/>
        </w:rPr>
        <w:t xml:space="preserve"> ielu apgaismojuma </w:t>
      </w:r>
    </w:p>
    <w:p w:rsidR="009D593C" w:rsidRPr="00162635" w:rsidP="009D593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132AA7">
        <w:rPr>
          <w:rFonts w:ascii="Times New Roman" w:hAnsi="Times New Roman"/>
          <w:sz w:val="20"/>
          <w:szCs w:val="20"/>
          <w:lang w:eastAsia="ar-SA"/>
        </w:rPr>
        <w:t>tīklu apsaimniekošana un remonts</w:t>
      </w:r>
      <w:r w:rsidRPr="007A3787">
        <w:rPr>
          <w:rFonts w:ascii="Times New Roman" w:hAnsi="Times New Roman"/>
          <w:sz w:val="20"/>
          <w:szCs w:val="20"/>
          <w:lang w:eastAsia="ar-SA"/>
        </w:rPr>
        <w:t>”</w:t>
      </w:r>
      <w:r>
        <w:rPr>
          <w:rFonts w:ascii="Times New Roman" w:hAnsi="Times New Roman"/>
          <w:sz w:val="20"/>
          <w:szCs w:val="20"/>
          <w:lang w:eastAsia="ar-SA"/>
        </w:rPr>
        <w:t xml:space="preserve">, </w:t>
      </w:r>
      <w:r w:rsidRPr="00C54461" w:rsidR="00C54461">
        <w:rPr>
          <w:rFonts w:ascii="Times New Roman" w:hAnsi="Times New Roman"/>
          <w:sz w:val="20"/>
          <w:szCs w:val="20"/>
          <w:lang w:eastAsia="ar-SA"/>
        </w:rPr>
        <w:t>identifikācijas Nr. TNPz 2025/</w:t>
      </w:r>
      <w:r w:rsidR="00AD5335">
        <w:rPr>
          <w:rFonts w:ascii="Times New Roman" w:hAnsi="Times New Roman"/>
          <w:sz w:val="20"/>
          <w:szCs w:val="20"/>
          <w:lang w:eastAsia="ar-SA"/>
        </w:rPr>
        <w:t>_____</w:t>
      </w:r>
      <w:r w:rsidRPr="00162635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9D593C" w:rsidRPr="004549DC" w:rsidP="009D593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9D593C" w:rsidRPr="00162635" w:rsidP="009D5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62635">
        <w:rPr>
          <w:rFonts w:ascii="Times New Roman" w:hAnsi="Times New Roman"/>
          <w:b/>
          <w:sz w:val="24"/>
          <w:szCs w:val="24"/>
          <w:lang w:eastAsia="ar-SA"/>
        </w:rPr>
        <w:t>PRETENDENTA PIETEIKUMS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9D593C" w:rsidRPr="005169EE" w:rsidP="009D593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A3787">
        <w:rPr>
          <w:rFonts w:ascii="Times New Roman" w:hAnsi="Times New Roman"/>
          <w:b/>
          <w:bCs/>
          <w:sz w:val="24"/>
          <w:szCs w:val="24"/>
          <w:lang w:eastAsia="ar-SA"/>
        </w:rPr>
        <w:t>“</w:t>
      </w:r>
      <w:r w:rsidR="008C11F9">
        <w:rPr>
          <w:rFonts w:ascii="Times New Roman" w:hAnsi="Times New Roman"/>
          <w:b/>
          <w:bCs/>
          <w:sz w:val="24"/>
          <w:szCs w:val="24"/>
          <w:lang w:eastAsia="ar-SA"/>
        </w:rPr>
        <w:t>Valdemārpils apvienības pārvaldes</w:t>
      </w:r>
      <w:r w:rsidRPr="00132AA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ielu apgaismojuma tīklu apsaimniekošana un remont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s</w:t>
      </w:r>
      <w:r w:rsidRPr="005169EE">
        <w:rPr>
          <w:rFonts w:ascii="Times New Roman" w:hAnsi="Times New Roman"/>
          <w:b/>
          <w:bCs/>
          <w:sz w:val="24"/>
          <w:szCs w:val="24"/>
          <w:lang w:eastAsia="ar-SA"/>
        </w:rPr>
        <w:t>”,</w:t>
      </w:r>
    </w:p>
    <w:p w:rsidR="009D593C" w:rsidRPr="005169EE" w:rsidP="009D593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169E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5169EE">
        <w:rPr>
          <w:rFonts w:ascii="Times New Roman" w:hAnsi="Times New Roman"/>
          <w:b/>
          <w:sz w:val="24"/>
          <w:szCs w:val="24"/>
          <w:lang w:eastAsia="ar-SA"/>
        </w:rPr>
        <w:t xml:space="preserve">identifikācijas Nr. </w:t>
      </w:r>
      <w:r>
        <w:rPr>
          <w:rFonts w:ascii="Times New Roman" w:hAnsi="Times New Roman"/>
          <w:b/>
          <w:sz w:val="24"/>
          <w:szCs w:val="24"/>
          <w:lang w:eastAsia="ar-SA"/>
        </w:rPr>
        <w:t>TNP</w:t>
      </w:r>
      <w:r w:rsidR="00AD5335">
        <w:rPr>
          <w:rFonts w:ascii="Times New Roman" w:hAnsi="Times New Roman"/>
          <w:b/>
          <w:sz w:val="24"/>
          <w:szCs w:val="24"/>
          <w:lang w:eastAsia="ar-SA"/>
        </w:rPr>
        <w:t>z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202</w:t>
      </w:r>
      <w:r w:rsidR="008C11F9">
        <w:rPr>
          <w:rFonts w:ascii="Times New Roman" w:hAnsi="Times New Roman"/>
          <w:b/>
          <w:sz w:val="24"/>
          <w:szCs w:val="24"/>
          <w:lang w:eastAsia="ar-SA"/>
        </w:rPr>
        <w:t>5</w:t>
      </w:r>
      <w:r>
        <w:rPr>
          <w:rFonts w:ascii="Times New Roman" w:hAnsi="Times New Roman"/>
          <w:b/>
          <w:sz w:val="24"/>
          <w:szCs w:val="24"/>
          <w:lang w:eastAsia="ar-SA"/>
        </w:rPr>
        <w:t>/</w:t>
      </w:r>
      <w:r w:rsidR="00AD5335">
        <w:rPr>
          <w:rFonts w:ascii="Times New Roman" w:hAnsi="Times New Roman"/>
          <w:b/>
          <w:sz w:val="24"/>
          <w:szCs w:val="24"/>
          <w:lang w:eastAsia="ar-SA"/>
        </w:rPr>
        <w:t>_____</w:t>
      </w:r>
    </w:p>
    <w:p w:rsidR="009D593C" w:rsidRPr="005169EE" w:rsidP="009D593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D593C" w:rsidRPr="00162635" w:rsidP="009D593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169EE">
        <w:rPr>
          <w:rFonts w:ascii="Times New Roman" w:hAnsi="Times New Roman"/>
          <w:sz w:val="24"/>
          <w:szCs w:val="24"/>
          <w:lang w:eastAsia="ar-SA"/>
        </w:rPr>
        <w:t xml:space="preserve">Iepazinušies ar atklāta konkursa </w:t>
      </w:r>
      <w:r w:rsidRPr="005169EE">
        <w:rPr>
          <w:rFonts w:ascii="Times New Roman" w:hAnsi="Times New Roman"/>
          <w:b/>
          <w:bCs/>
          <w:sz w:val="24"/>
          <w:szCs w:val="24"/>
          <w:lang w:eastAsia="ar-SA"/>
        </w:rPr>
        <w:t>“</w:t>
      </w:r>
      <w:r w:rsidR="008C11F9">
        <w:rPr>
          <w:rFonts w:ascii="Times New Roman" w:hAnsi="Times New Roman"/>
          <w:b/>
          <w:bCs/>
          <w:sz w:val="24"/>
          <w:szCs w:val="24"/>
          <w:lang w:eastAsia="ar-SA"/>
        </w:rPr>
        <w:t>Valdemārpils apvienības pārvaldes</w:t>
      </w:r>
      <w:r w:rsidRPr="00045E0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ielu apgaismojuma tīklu apsaimniekošana un remonts</w:t>
      </w:r>
      <w:r w:rsidRPr="005169E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”, identifikācijas Nr. </w:t>
      </w:r>
      <w:r w:rsidRPr="003B52BD">
        <w:rPr>
          <w:rFonts w:ascii="Times New Roman" w:hAnsi="Times New Roman"/>
          <w:b/>
          <w:bCs/>
          <w:sz w:val="24"/>
          <w:szCs w:val="24"/>
          <w:lang w:eastAsia="ar-SA"/>
        </w:rPr>
        <w:t>TNP</w:t>
      </w:r>
      <w:r w:rsidR="00AD5335">
        <w:rPr>
          <w:rFonts w:ascii="Times New Roman" w:hAnsi="Times New Roman"/>
          <w:b/>
          <w:bCs/>
          <w:sz w:val="24"/>
          <w:szCs w:val="24"/>
          <w:lang w:eastAsia="ar-SA"/>
        </w:rPr>
        <w:t>z</w:t>
      </w:r>
      <w:r w:rsidRPr="003B52B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202</w:t>
      </w:r>
      <w:r w:rsidR="008C11F9">
        <w:rPr>
          <w:rFonts w:ascii="Times New Roman" w:hAnsi="Times New Roman"/>
          <w:b/>
          <w:bCs/>
          <w:sz w:val="24"/>
          <w:szCs w:val="24"/>
          <w:lang w:eastAsia="ar-SA"/>
        </w:rPr>
        <w:t>5</w:t>
      </w:r>
      <w:r w:rsidRPr="003B52BD">
        <w:rPr>
          <w:rFonts w:ascii="Times New Roman" w:hAnsi="Times New Roman"/>
          <w:b/>
          <w:bCs/>
          <w:sz w:val="24"/>
          <w:szCs w:val="24"/>
          <w:lang w:eastAsia="ar-SA"/>
        </w:rPr>
        <w:t>/</w:t>
      </w:r>
      <w:r w:rsidR="00AD5335">
        <w:rPr>
          <w:rFonts w:ascii="Times New Roman" w:hAnsi="Times New Roman"/>
          <w:b/>
          <w:bCs/>
          <w:sz w:val="24"/>
          <w:szCs w:val="24"/>
          <w:lang w:eastAsia="ar-SA"/>
        </w:rPr>
        <w:t>_____</w:t>
      </w:r>
      <w:r w:rsidRPr="003B52BD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5169E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169EE">
        <w:rPr>
          <w:rFonts w:ascii="Times New Roman" w:hAnsi="Times New Roman"/>
          <w:iCs/>
          <w:sz w:val="24"/>
          <w:szCs w:val="24"/>
          <w:lang w:eastAsia="ar-SA"/>
        </w:rPr>
        <w:t>dokumentāciju</w:t>
      </w:r>
      <w:r w:rsidRPr="005169EE">
        <w:rPr>
          <w:rFonts w:ascii="Times New Roman" w:hAnsi="Times New Roman"/>
          <w:sz w:val="24"/>
          <w:szCs w:val="24"/>
          <w:lang w:eastAsia="ar-SA"/>
        </w:rPr>
        <w:t>, mēs, apakšā parakstījušies, piesakāmies piedalīties atklātā konkursā, iesniedzam piedāvājumu atklātam konkursam un:</w:t>
      </w:r>
    </w:p>
    <w:p w:rsidR="009D593C" w:rsidRPr="003C49A7" w:rsidP="009D593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9A7">
        <w:rPr>
          <w:rFonts w:ascii="Times New Roman" w:hAnsi="Times New Roman"/>
          <w:sz w:val="24"/>
          <w:szCs w:val="24"/>
          <w:lang w:eastAsia="ar-SA"/>
        </w:rPr>
        <w:t xml:space="preserve">Apliecinām, ka esam iepazinušies ar visiem atklāta konkursa dokumentiem, atklāta konkursa noteikumi ir skaidri un saprotami, </w:t>
      </w:r>
      <w:r w:rsidRPr="003C49A7">
        <w:rPr>
          <w:rFonts w:ascii="Times New Roman" w:hAnsi="Times New Roman"/>
          <w:sz w:val="24"/>
          <w:szCs w:val="24"/>
          <w:lang w:eastAsia="ar-SA"/>
        </w:rPr>
        <w:t>un garantējam Nolikuma prasību izpildi.</w:t>
      </w:r>
    </w:p>
    <w:p w:rsidR="009D593C" w:rsidRPr="0043026E" w:rsidP="009D593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9A7">
        <w:rPr>
          <w:rFonts w:ascii="Times New Roman" w:hAnsi="Times New Roman"/>
          <w:sz w:val="24"/>
          <w:szCs w:val="24"/>
          <w:lang w:eastAsia="ar-SA"/>
        </w:rPr>
        <w:t xml:space="preserve">Apliecinām, ka mūsu rīcībā ir visi tehniskie un personāla resursi, lai kvalitatīvi un </w:t>
      </w:r>
      <w:r w:rsidRPr="0043026E">
        <w:rPr>
          <w:rFonts w:ascii="Times New Roman" w:hAnsi="Times New Roman"/>
          <w:sz w:val="24"/>
          <w:szCs w:val="24"/>
          <w:lang w:eastAsia="ar-SA"/>
        </w:rPr>
        <w:t>savlaicīgi nodrošinātu Pasūtītājam nepieciešamo pakalpojumu.</w:t>
      </w:r>
    </w:p>
    <w:p w:rsidR="009D593C" w:rsidRPr="004B3086" w:rsidP="009D593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748" w:hanging="39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3026E">
        <w:rPr>
          <w:rFonts w:ascii="Times New Roman" w:hAnsi="Times New Roman"/>
          <w:sz w:val="24"/>
          <w:szCs w:val="24"/>
          <w:lang w:eastAsia="ar-SA"/>
        </w:rPr>
        <w:t xml:space="preserve">Apliecinām, ka esam iepazinušies ar atklāta konkursa apjomu un izpētījuši apstākļus, kas varētu ietekmēt šī pakalpojuma izpildi un samaksas noteikšanu par pakalpojuma izpildi, tajā skaitā, transporta iespējas, </w:t>
      </w:r>
      <w:r>
        <w:rPr>
          <w:rFonts w:ascii="Times New Roman" w:hAnsi="Times New Roman"/>
          <w:sz w:val="24"/>
          <w:szCs w:val="24"/>
          <w:lang w:eastAsia="ar-SA"/>
        </w:rPr>
        <w:t>pakalpojuma izpildes</w:t>
      </w:r>
      <w:r w:rsidRPr="0043026E">
        <w:rPr>
          <w:rFonts w:ascii="Times New Roman" w:hAnsi="Times New Roman"/>
          <w:sz w:val="24"/>
          <w:szCs w:val="24"/>
          <w:lang w:eastAsia="ar-SA"/>
        </w:rPr>
        <w:t xml:space="preserve"> vietas atrašanos, tiesību</w:t>
      </w:r>
      <w:r w:rsidRPr="0043026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B3086">
        <w:rPr>
          <w:rFonts w:ascii="Times New Roman" w:hAnsi="Times New Roman"/>
          <w:sz w:val="24"/>
          <w:szCs w:val="24"/>
          <w:lang w:eastAsia="ar-SA"/>
        </w:rPr>
        <w:t>normas, darbaspēka izmantošanas nosacījumus, kā arī iespējas izmantot citus pakalpojumus, un ņēmām tos vērā, nosakot Līgumā minēto samaksu par pakalpojuma izpildi – līgumcenu. Līgumcenu un pakalpojuma izpildes termiņus nevar ietekmēt iepriekš minētie paka</w:t>
      </w:r>
      <w:r w:rsidRPr="004B3086">
        <w:rPr>
          <w:rFonts w:ascii="Times New Roman" w:hAnsi="Times New Roman"/>
          <w:sz w:val="24"/>
          <w:szCs w:val="24"/>
          <w:lang w:eastAsia="ar-SA"/>
        </w:rPr>
        <w:t xml:space="preserve">lpojuma izpildes apstākļi. </w:t>
      </w:r>
    </w:p>
    <w:p w:rsidR="009D593C" w:rsidRPr="004B3086" w:rsidP="009D593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748" w:hanging="39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Apliecinām, ka visa mūsu piedāvājumā sniegtā informācija ir patiesa un nepastāv nekādi šķēršļi mūsu dalībai šajā atklātā konkursā.</w:t>
      </w:r>
    </w:p>
    <w:p w:rsidR="009D593C" w:rsidRPr="004B3086" w:rsidP="009D593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748" w:hanging="39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color w:val="000000"/>
          <w:sz w:val="24"/>
          <w:szCs w:val="24"/>
          <w:lang w:eastAsia="ar-SA"/>
        </w:rPr>
        <w:t>Vis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i</w:t>
      </w:r>
      <w:r w:rsidRPr="004B30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iesniegt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ie</w:t>
      </w:r>
      <w:r w:rsidRPr="004B30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dokumentu atvasinājumi atbilst oriģinālam, sniegtā informācija un dati ir patiesi.</w:t>
      </w:r>
    </w:p>
    <w:p w:rsidR="009D593C" w:rsidRPr="004B3086" w:rsidP="009D593C">
      <w:pPr>
        <w:pStyle w:val="ListParagraph"/>
        <w:numPr>
          <w:ilvl w:val="0"/>
          <w:numId w:val="1"/>
        </w:numPr>
        <w:spacing w:after="0" w:line="240" w:lineRule="auto"/>
        <w:ind w:left="748" w:hanging="391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Pretendents norāda, kādu informāciju nodod kā komercnoslēpumu un kādu kā konfidenciālu informāciju (ja tāda ir) ______________.</w:t>
      </w:r>
    </w:p>
    <w:p w:rsidR="009D593C" w:rsidRPr="004B3086" w:rsidP="009D59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Informējam, ka esam iesnieguši piedāvājumu n</w:t>
      </w:r>
      <w:r w:rsidRPr="004B3086">
        <w:rPr>
          <w:rFonts w:ascii="Times New Roman" w:hAnsi="Times New Roman"/>
          <w:sz w:val="24"/>
          <w:szCs w:val="24"/>
          <w:lang w:eastAsia="ar-SA"/>
        </w:rPr>
        <w:t>eatkarīgi no konkurentiem un bez konsultācijām, līgumiem vai vienošanām. Mums ne ar vienu konkurentu nav bijusi saziņa attiecībā uz:</w:t>
      </w:r>
    </w:p>
    <w:p w:rsidR="009D593C" w:rsidP="009D593C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cenām;</w:t>
      </w:r>
    </w:p>
    <w:p w:rsidR="009D593C" w:rsidP="009D593C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cenas aprēķināšanas metodēm, faktoriem (apstākļiem) vai formulām;</w:t>
      </w:r>
    </w:p>
    <w:p w:rsidR="009D593C" w:rsidP="009D593C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nodomu vai lēmumu piedalīties vai nepiedalīties ie</w:t>
      </w:r>
      <w:r w:rsidRPr="004B3086">
        <w:rPr>
          <w:rFonts w:ascii="Times New Roman" w:hAnsi="Times New Roman"/>
          <w:sz w:val="24"/>
          <w:szCs w:val="24"/>
          <w:lang w:eastAsia="ar-SA"/>
        </w:rPr>
        <w:t>pirkumā (iesniegt vai neiesniegt piedāvājumu);</w:t>
      </w:r>
    </w:p>
    <w:p w:rsidR="009D593C" w:rsidP="009D593C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tādu piedāvājuma iesniegšanu, kas neatbilst iepirkuma prasībām;</w:t>
      </w:r>
    </w:p>
    <w:p w:rsidR="009D593C" w:rsidRPr="004B3086" w:rsidP="009D593C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kvalitāti, apjomu, specifikāciju, izpildes, piegādes vai citiem nosacījumiem, kas risināmi neatkarīgi no konkurentiem, tiem produktiem vai pakalp</w:t>
      </w:r>
      <w:r w:rsidRPr="004B3086">
        <w:rPr>
          <w:rFonts w:ascii="Times New Roman" w:hAnsi="Times New Roman"/>
          <w:sz w:val="24"/>
          <w:szCs w:val="24"/>
          <w:lang w:eastAsia="ar-SA"/>
        </w:rPr>
        <w:t>ojumiem, uz ko attiecas šis iepirkums.</w:t>
      </w:r>
    </w:p>
    <w:p w:rsidR="009D593C" w:rsidRPr="004B3086" w:rsidP="009D59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Apliecinām, ka neesam apzināti, tieši vai netieši atklājuši un neatklāsim piedāvājuma noteikumus nevienam konkurentam pirms oficiālā piedāvājumu atvēršanas datuma un laika vai līguma slēgšanas tiesību piešķiršanas.</w:t>
      </w:r>
    </w:p>
    <w:p w:rsidR="009D593C" w:rsidP="009D59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sz w:val="24"/>
          <w:szCs w:val="24"/>
          <w:lang w:eastAsia="ar-SA"/>
        </w:rPr>
        <w:t>Ap</w:t>
      </w:r>
      <w:r w:rsidRPr="004B3086">
        <w:rPr>
          <w:rFonts w:ascii="Times New Roman" w:hAnsi="Times New Roman"/>
          <w:sz w:val="24"/>
          <w:szCs w:val="24"/>
          <w:lang w:eastAsia="ar-SA"/>
        </w:rPr>
        <w:t>zināmies,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:rsidR="009D593C" w:rsidRPr="004B3086" w:rsidP="009D593C">
      <w:pPr>
        <w:pStyle w:val="ListParagraph"/>
        <w:numPr>
          <w:ilvl w:val="0"/>
          <w:numId w:val="1"/>
        </w:numPr>
        <w:spacing w:after="0" w:line="240" w:lineRule="auto"/>
        <w:ind w:left="748" w:hanging="391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30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Pretendenta </w:t>
      </w:r>
      <w:r w:rsidRPr="004B3086">
        <w:rPr>
          <w:rFonts w:ascii="Times New Roman" w:hAnsi="Times New Roman"/>
          <w:color w:val="000000"/>
          <w:sz w:val="24"/>
          <w:szCs w:val="24"/>
          <w:lang w:eastAsia="ar-SA"/>
        </w:rPr>
        <w:t>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8615"/>
      </w:tblGrid>
      <w:tr w:rsidTr="003021FC">
        <w:tblPrEx>
          <w:tblW w:w="907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sdt>
          <w:sdtPr>
            <w:rPr>
              <w:rFonts w:ascii="Times New Roman" w:eastAsia="Calibri" w:hAnsi="Times New Roman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F2F2F2" w:themeFill="background1" w:themeFillShade="F2"/>
                <w:vAlign w:val="center"/>
              </w:tcPr>
              <w:p w:rsidR="009D593C" w:rsidRPr="004B3086" w:rsidP="003021F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textAlignment w:val="baseline"/>
                  <w:rPr>
                    <w:rFonts w:ascii="Times New Roman" w:eastAsia="Calibri" w:hAnsi="Times New Roman"/>
                    <w:b/>
                    <w:sz w:val="24"/>
                    <w:szCs w:val="24"/>
                    <w:lang w:eastAsia="lv-LV"/>
                  </w:rPr>
                </w:pPr>
                <w:r w:rsidRPr="004B3086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5" w:type="dxa"/>
            <w:vAlign w:val="center"/>
          </w:tcPr>
          <w:p w:rsidR="009D593C" w:rsidRPr="004B3086" w:rsidP="0030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lv-LV"/>
              </w:rPr>
            </w:pPr>
            <w:r w:rsidRPr="004B3086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B3086">
              <w:rPr>
                <w:rFonts w:ascii="Times New Roman" w:eastAsia="Calibri" w:hAnsi="Times New Roman"/>
                <w:i/>
                <w:sz w:val="24"/>
                <w:szCs w:val="24"/>
                <w:lang w:eastAsia="lv-LV"/>
              </w:rPr>
              <w:t>euro</w:t>
            </w:r>
            <w:r w:rsidRPr="004B3086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Tr="003021FC">
        <w:tblPrEx>
          <w:tblW w:w="9072" w:type="dxa"/>
          <w:tblInd w:w="-5" w:type="dxa"/>
          <w:tblLook w:val="04A0"/>
        </w:tblPrEx>
        <w:sdt>
          <w:sdtPr>
            <w:rPr>
              <w:rFonts w:ascii="Times New Roman" w:eastAsia="Calibri" w:hAnsi="Times New Roman"/>
              <w:b/>
              <w:sz w:val="24"/>
              <w:szCs w:val="24"/>
              <w:lang w:eastAsia="lv-LV"/>
            </w:rPr>
            <w:id w:val="48698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F2F2F2" w:themeFill="background1" w:themeFillShade="F2"/>
                <w:vAlign w:val="center"/>
              </w:tcPr>
              <w:p w:rsidR="009D593C" w:rsidRPr="004B3086" w:rsidP="003021F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textAlignment w:val="baseline"/>
                  <w:rPr>
                    <w:rFonts w:ascii="Times New Roman" w:eastAsia="Calibri" w:hAnsi="Times New Roman"/>
                    <w:b/>
                    <w:sz w:val="24"/>
                    <w:szCs w:val="24"/>
                    <w:lang w:eastAsia="lv-LV"/>
                  </w:rPr>
                </w:pPr>
                <w:r w:rsidRPr="004B308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5" w:type="dxa"/>
            <w:vAlign w:val="center"/>
          </w:tcPr>
          <w:p w:rsidR="009D593C" w:rsidRPr="004B3086" w:rsidP="0030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lv-LV"/>
              </w:rPr>
            </w:pPr>
            <w:r w:rsidRPr="004B3086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B3086">
              <w:rPr>
                <w:rFonts w:ascii="Times New Roman" w:eastAsia="Calibri" w:hAnsi="Times New Roman"/>
                <w:i/>
                <w:sz w:val="24"/>
                <w:szCs w:val="24"/>
                <w:lang w:eastAsia="lv-LV"/>
              </w:rPr>
              <w:t>euro</w:t>
            </w:r>
            <w:r w:rsidRPr="004B3086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4B3086">
              <w:rPr>
                <w:rFonts w:ascii="Times New Roman" w:eastAsia="Calibri" w:hAnsi="Times New Roman"/>
                <w:i/>
                <w:sz w:val="24"/>
                <w:szCs w:val="24"/>
                <w:lang w:eastAsia="lv-LV"/>
              </w:rPr>
              <w:t>euro</w:t>
            </w:r>
            <w:r w:rsidRPr="004B3086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:rsidR="009D593C" w:rsidRPr="004549DC" w:rsidP="009D593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tbl>
      <w:tblPr>
        <w:tblW w:w="90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53"/>
        <w:gridCol w:w="4819"/>
      </w:tblGrid>
      <w:tr w:rsidTr="003021FC">
        <w:tblPrEx>
          <w:tblW w:w="9072" w:type="dxa"/>
          <w:tblInd w:w="-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Pretendents: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 xml:space="preserve">Reģistrācijas nr. vai personas kods: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Juridiskā adrese: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Oficiālā e-pasta adrese: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Kontaktpersona: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2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Kontaktpersonas tālrunis un e</w:t>
            </w: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noBreakHyphen/>
              <w:t>pasts: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Bankas nosaukums, filiāle: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Bankas kods: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sz w:val="24"/>
                <w:lang w:eastAsia="ar-SA"/>
              </w:rPr>
              <w:t>Norēķinu konts: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bCs/>
                <w:sz w:val="24"/>
                <w:lang w:eastAsia="ar-SA"/>
              </w:rPr>
              <w:t>Vārds, uzvārds: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  <w:tr w:rsidTr="003021FC">
        <w:tblPrEx>
          <w:tblW w:w="9072" w:type="dxa"/>
          <w:tblInd w:w="-5" w:type="dxa"/>
          <w:tblLook w:val="04A0"/>
        </w:tblPrEx>
        <w:trPr>
          <w:trHeight w:val="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D593C" w:rsidRPr="004B3086" w:rsidP="003021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4B3086">
              <w:rPr>
                <w:rFonts w:ascii="Times New Roman" w:hAnsi="Times New Roman"/>
                <w:b/>
                <w:bCs/>
                <w:sz w:val="24"/>
                <w:lang w:eastAsia="ar-SA"/>
              </w:rPr>
              <w:t>Amats: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3C" w:rsidRPr="004549DC" w:rsidP="003021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highlight w:val="yellow"/>
                <w:lang w:eastAsia="ar-SA"/>
              </w:rPr>
            </w:pPr>
          </w:p>
        </w:tc>
      </w:tr>
    </w:tbl>
    <w:p w:rsidR="009D593C" w:rsidRPr="004549DC" w:rsidP="009D593C">
      <w:pPr>
        <w:tabs>
          <w:tab w:val="right" w:leader="underscore" w:pos="935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9D593C" w:rsidRPr="004B3086" w:rsidP="009D593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8B751B" w:rsidRPr="009D593C" w:rsidP="009D593C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sectPr w:rsidSect="009D593C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75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69E0">
    <w:pPr>
      <w:jc w:val="center"/>
    </w:pPr>
    <w:r>
      <w:rPr>
        <w:rFonts w:ascii="Calibri" w:eastAsia="Calibri" w:hAnsi="Calibri" w:cs="Calibri"/>
      </w:rPr>
      <w:t xml:space="preserve">Šis dokuments ir parakstīts ar drošu </w:t>
    </w:r>
    <w:r>
      <w:rPr>
        <w:rFonts w:ascii="Calibri" w:eastAsia="Calibri" w:hAnsi="Calibri" w:cs="Calibri"/>
      </w:rPr>
      <w:t>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4494F"/>
    <w:multiLevelType w:val="multilevel"/>
    <w:tmpl w:val="4510F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2F16093"/>
    <w:multiLevelType w:val="hybridMultilevel"/>
    <w:tmpl w:val="4CE2E63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3C"/>
    <w:rsid w:val="00005B92"/>
    <w:rsid w:val="00045E06"/>
    <w:rsid w:val="00095BDF"/>
    <w:rsid w:val="00132AA7"/>
    <w:rsid w:val="00162635"/>
    <w:rsid w:val="001F7A52"/>
    <w:rsid w:val="003021FC"/>
    <w:rsid w:val="00315625"/>
    <w:rsid w:val="003B52BD"/>
    <w:rsid w:val="003C49A7"/>
    <w:rsid w:val="0043026E"/>
    <w:rsid w:val="004549DC"/>
    <w:rsid w:val="004B3086"/>
    <w:rsid w:val="005169EE"/>
    <w:rsid w:val="0053340A"/>
    <w:rsid w:val="007A3787"/>
    <w:rsid w:val="007F7907"/>
    <w:rsid w:val="00851AAA"/>
    <w:rsid w:val="008B751B"/>
    <w:rsid w:val="008C11F9"/>
    <w:rsid w:val="009D593C"/>
    <w:rsid w:val="00A06AB4"/>
    <w:rsid w:val="00A20397"/>
    <w:rsid w:val="00A67875"/>
    <w:rsid w:val="00AD5335"/>
    <w:rsid w:val="00AE4069"/>
    <w:rsid w:val="00AE51BC"/>
    <w:rsid w:val="00C50701"/>
    <w:rsid w:val="00C54461"/>
    <w:rsid w:val="00D8120E"/>
    <w:rsid w:val="00DD69E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110150-038E-4647-B14B-B7DE2E90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3C"/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2,Bullet list,Colorful List - Accent 12,H&amp;P List Paragraph,Normal bullet 2,PPS_Bullet,Virsraksti,Numurets,Colorful List - Accent 11,Bullet Points,Bullet Styl,List Paragraph_0,List Paragraph1"/>
    <w:basedOn w:val="Normal"/>
    <w:link w:val="SarakstarindkopaRakstz"/>
    <w:uiPriority w:val="34"/>
    <w:qFormat/>
    <w:rsid w:val="009D593C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ListParagraph"/>
    <w:uiPriority w:val="34"/>
    <w:qFormat/>
    <w:locked/>
    <w:rsid w:val="009D593C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Līva Mažeika</dc:creator>
  <cp:lastModifiedBy>Lietotajs</cp:lastModifiedBy>
  <cp:revision>2</cp:revision>
  <dcterms:created xsi:type="dcterms:W3CDTF">2025-08-18T11:25:00Z</dcterms:created>
  <dcterms:modified xsi:type="dcterms:W3CDTF">2025-08-18T11:25:00Z</dcterms:modified>
</cp:coreProperties>
</file>