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18ED4" w14:textId="56E2C628"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2.pielikums</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Cenu aptaujai</w:t>
      </w:r>
      <w:r w:rsidRPr="00D7671A">
        <w:rPr>
          <w:rFonts w:ascii="Times New Roman" w:hAnsi="Times New Roman" w:cs="Times New Roman"/>
          <w:color w:val="000000" w:themeColor="text1"/>
          <w:sz w:val="20"/>
          <w:szCs w:val="20"/>
        </w:rPr>
        <w:t xml:space="preserve"> “Skatuves u</w:t>
      </w:r>
      <w:r w:rsidR="00E56796" w:rsidRPr="00D7671A">
        <w:rPr>
          <w:rFonts w:ascii="Times New Roman" w:hAnsi="Times New Roman" w:cs="Times New Roman"/>
          <w:color w:val="000000" w:themeColor="text1"/>
          <w:sz w:val="20"/>
          <w:szCs w:val="20"/>
        </w:rPr>
        <w:t>n</w:t>
      </w:r>
      <w:r w:rsidRPr="00D7671A">
        <w:rPr>
          <w:rFonts w:ascii="Times New Roman" w:hAnsi="Times New Roman" w:cs="Times New Roman"/>
          <w:color w:val="000000" w:themeColor="text1"/>
          <w:sz w:val="20"/>
          <w:szCs w:val="20"/>
        </w:rPr>
        <w:t xml:space="preserve"> zāles apgaismojuma </w:t>
      </w:r>
    </w:p>
    <w:p w14:paraId="77A8B96D" w14:textId="53A1C50D"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reko</w:t>
      </w:r>
      <w:r w:rsidR="00177241" w:rsidRPr="00D7671A">
        <w:rPr>
          <w:rFonts w:ascii="Times New Roman" w:hAnsi="Times New Roman" w:cs="Times New Roman"/>
          <w:color w:val="000000" w:themeColor="text1"/>
          <w:sz w:val="20"/>
          <w:szCs w:val="20"/>
        </w:rPr>
        <w:t>nstrukcija Stendes tautas namā”</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identifikācijas Nr</w:t>
      </w:r>
      <w:r w:rsidR="00D7671A" w:rsidRPr="00D7671A">
        <w:rPr>
          <w:rFonts w:ascii="Times New Roman" w:hAnsi="Times New Roman" w:cs="Times New Roman"/>
          <w:color w:val="000000" w:themeColor="text1"/>
          <w:sz w:val="20"/>
          <w:szCs w:val="20"/>
        </w:rPr>
        <w:t xml:space="preserve">. </w:t>
      </w:r>
      <w:proofErr w:type="spellStart"/>
      <w:r w:rsidR="00D7671A" w:rsidRPr="00D7671A">
        <w:rPr>
          <w:rFonts w:ascii="Times New Roman" w:hAnsi="Times New Roman" w:cs="Times New Roman"/>
          <w:color w:val="000000" w:themeColor="text1"/>
          <w:sz w:val="20"/>
          <w:szCs w:val="20"/>
        </w:rPr>
        <w:t>TNPz</w:t>
      </w:r>
      <w:proofErr w:type="spellEnd"/>
      <w:r w:rsidR="00D7671A" w:rsidRPr="00D7671A">
        <w:rPr>
          <w:rFonts w:ascii="Times New Roman" w:hAnsi="Times New Roman" w:cs="Times New Roman"/>
          <w:color w:val="000000" w:themeColor="text1"/>
          <w:sz w:val="20"/>
          <w:szCs w:val="20"/>
        </w:rPr>
        <w:t xml:space="preserve"> 2025/42</w:t>
      </w:r>
    </w:p>
    <w:p w14:paraId="05885EB6" w14:textId="77777777" w:rsidR="006652B2" w:rsidRPr="00D7671A" w:rsidRDefault="006652B2" w:rsidP="00D7671A">
      <w:pPr>
        <w:spacing w:after="0"/>
        <w:rPr>
          <w:rFonts w:ascii="Times New Roman" w:hAnsi="Times New Roman" w:cs="Times New Roman"/>
          <w:b/>
          <w:color w:val="000000" w:themeColor="text1"/>
          <w:sz w:val="24"/>
          <w:szCs w:val="24"/>
        </w:rPr>
      </w:pPr>
    </w:p>
    <w:p w14:paraId="5BA61866" w14:textId="0CE4CAAE"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w:t>
      </w:r>
      <w:r w:rsidR="00DD3CA0">
        <w:rPr>
          <w:rFonts w:ascii="Times New Roman" w:hAnsi="Times New Roman" w:cs="Times New Roman"/>
          <w:b/>
          <w:sz w:val="24"/>
          <w:szCs w:val="24"/>
        </w:rPr>
        <w:t>AIS PIEDĀVĀJUMS</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1E828CC9" w14:textId="77777777" w:rsidR="00DD3CA0" w:rsidRPr="0045223C" w:rsidRDefault="00DD3CA0"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323" w:type="dxa"/>
        <w:tblLook w:val="04A0" w:firstRow="1" w:lastRow="0" w:firstColumn="1" w:lastColumn="0" w:noHBand="0" w:noVBand="1"/>
      </w:tblPr>
      <w:tblGrid>
        <w:gridCol w:w="838"/>
        <w:gridCol w:w="2874"/>
        <w:gridCol w:w="3087"/>
        <w:gridCol w:w="2524"/>
      </w:tblGrid>
      <w:tr w:rsidR="00DD3CA0" w:rsidRPr="0045223C" w14:paraId="32181DCD" w14:textId="6F80D582" w:rsidTr="00DD3CA0">
        <w:tc>
          <w:tcPr>
            <w:tcW w:w="838" w:type="dxa"/>
          </w:tcPr>
          <w:p w14:paraId="10387843" w14:textId="7E882046"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4" w:type="dxa"/>
          </w:tcPr>
          <w:p w14:paraId="616A6DB8" w14:textId="474B13D1"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4B001258" w14:textId="26441278"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3C8BCE1E" w14:textId="52B32ED7"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6E8ACDC3" w14:textId="5A6F3255" w:rsidTr="00DD3CA0">
        <w:tc>
          <w:tcPr>
            <w:tcW w:w="838" w:type="dxa"/>
          </w:tcPr>
          <w:p w14:paraId="623C0249" w14:textId="4E9C0E2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4" w:type="dxa"/>
            <w:vAlign w:val="center"/>
          </w:tcPr>
          <w:p w14:paraId="333088EE" w14:textId="47BFE1CA"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w:t>
            </w:r>
            <w:bookmarkStart w:id="0" w:name="_GoBack"/>
            <w:bookmarkEnd w:id="0"/>
            <w:r w:rsidRPr="0045223C">
              <w:rPr>
                <w:rFonts w:ascii="Times New Roman" w:hAnsi="Times New Roman" w:cs="Times New Roman"/>
                <w:bCs/>
                <w:sz w:val="24"/>
                <w:szCs w:val="24"/>
                <w:lang w:eastAsia="en-GB"/>
              </w:rPr>
              <w:t>as bloka garantijas laiks:  </w:t>
            </w:r>
          </w:p>
        </w:tc>
        <w:tc>
          <w:tcPr>
            <w:tcW w:w="3087" w:type="dxa"/>
            <w:vAlign w:val="center"/>
          </w:tcPr>
          <w:p w14:paraId="6801E734" w14:textId="1740C8CD"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76EAD41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7B9E770" w14:textId="29D8A306" w:rsidTr="00DD3CA0">
        <w:tc>
          <w:tcPr>
            <w:tcW w:w="838" w:type="dxa"/>
          </w:tcPr>
          <w:p w14:paraId="19C21861" w14:textId="474C64D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darba apgaismojums (150w /12750 Lm, leņķis 120x60)</w:t>
            </w:r>
          </w:p>
        </w:tc>
        <w:tc>
          <w:tcPr>
            <w:tcW w:w="2524" w:type="dxa"/>
            <w:tcBorders>
              <w:top w:val="single" w:sz="6" w:space="0" w:color="auto"/>
              <w:left w:val="single" w:sz="6" w:space="0" w:color="auto"/>
              <w:bottom w:val="single" w:sz="6" w:space="0" w:color="auto"/>
              <w:right w:val="single" w:sz="6" w:space="0" w:color="auto"/>
            </w:tcBorders>
          </w:tcPr>
          <w:p w14:paraId="76F2D71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07ED38F" w14:textId="5D32C394" w:rsidTr="00DD3CA0">
        <w:tc>
          <w:tcPr>
            <w:tcW w:w="838" w:type="dxa"/>
          </w:tcPr>
          <w:p w14:paraId="611F8C24" w14:textId="22A820B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5 kg.</w:t>
            </w:r>
          </w:p>
        </w:tc>
        <w:tc>
          <w:tcPr>
            <w:tcW w:w="2524" w:type="dxa"/>
            <w:tcBorders>
              <w:top w:val="single" w:sz="6" w:space="0" w:color="auto"/>
              <w:left w:val="single" w:sz="6" w:space="0" w:color="auto"/>
              <w:bottom w:val="single" w:sz="6" w:space="0" w:color="auto"/>
              <w:right w:val="single" w:sz="6" w:space="0" w:color="auto"/>
            </w:tcBorders>
          </w:tcPr>
          <w:p w14:paraId="7F85FB6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806999" w14:textId="52098052" w:rsidTr="00DD3CA0">
        <w:tc>
          <w:tcPr>
            <w:tcW w:w="838" w:type="dxa"/>
          </w:tcPr>
          <w:p w14:paraId="3097639C" w14:textId="7B852DD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c>
          <w:tcPr>
            <w:tcW w:w="2524" w:type="dxa"/>
            <w:tcBorders>
              <w:top w:val="single" w:sz="6" w:space="0" w:color="auto"/>
              <w:left w:val="single" w:sz="6" w:space="0" w:color="auto"/>
              <w:bottom w:val="single" w:sz="6" w:space="0" w:color="auto"/>
              <w:right w:val="single" w:sz="6" w:space="0" w:color="auto"/>
            </w:tcBorders>
          </w:tcPr>
          <w:p w14:paraId="518C99B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D497F16" w14:textId="19F2BA3C" w:rsidTr="00DD3CA0">
        <w:tc>
          <w:tcPr>
            <w:tcW w:w="838" w:type="dxa"/>
          </w:tcPr>
          <w:p w14:paraId="1C10C33C" w14:textId="5C9B14F3"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0FDF49B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941D5DA" w14:textId="041BDAFC" w:rsidTr="00DD3CA0">
        <w:tc>
          <w:tcPr>
            <w:tcW w:w="838" w:type="dxa"/>
          </w:tcPr>
          <w:p w14:paraId="6609804F" w14:textId="6F6FAC3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3BAC9F6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3B2925" w14:textId="686D2D67" w:rsidTr="00DD3CA0">
        <w:tc>
          <w:tcPr>
            <w:tcW w:w="838" w:type="dxa"/>
          </w:tcPr>
          <w:p w14:paraId="5F4ABDE9" w14:textId="52FBC9B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F73BE9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5F234B" w14:textId="56631EC3" w:rsidTr="00DD3CA0">
        <w:tc>
          <w:tcPr>
            <w:tcW w:w="838" w:type="dxa"/>
          </w:tcPr>
          <w:p w14:paraId="1357A67A" w14:textId="12CAA5B1"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33A007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3EF30CC" w14:textId="1D47638A" w:rsidTr="00DD3CA0">
        <w:tc>
          <w:tcPr>
            <w:tcW w:w="838" w:type="dxa"/>
          </w:tcPr>
          <w:p w14:paraId="29342748" w14:textId="42684A7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56C2560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9F7B82" w14:textId="786C6EBD" w:rsidTr="00DD3CA0">
        <w:tc>
          <w:tcPr>
            <w:tcW w:w="838" w:type="dxa"/>
          </w:tcPr>
          <w:p w14:paraId="51A79C11" w14:textId="5035528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72E13B1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1CC92FD" w14:textId="45A42FD4" w:rsidTr="00DD3CA0">
        <w:tc>
          <w:tcPr>
            <w:tcW w:w="838" w:type="dxa"/>
          </w:tcPr>
          <w:p w14:paraId="07846B4F" w14:textId="4E56330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46CBAF7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8AC974D" w14:textId="0F16F45F" w:rsidTr="00DD3CA0">
        <w:tc>
          <w:tcPr>
            <w:tcW w:w="838" w:type="dxa"/>
          </w:tcPr>
          <w:p w14:paraId="13D80A7F" w14:textId="24E29FCF"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7EA9A45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24C6A0" w14:textId="4D11C663" w:rsidTr="00DD3CA0">
        <w:tc>
          <w:tcPr>
            <w:tcW w:w="838" w:type="dxa"/>
          </w:tcPr>
          <w:p w14:paraId="3CED0492" w14:textId="716A974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DF4B3A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E828E0" w14:textId="6F9E13BE" w:rsidTr="00DD3CA0">
        <w:tc>
          <w:tcPr>
            <w:tcW w:w="838" w:type="dxa"/>
          </w:tcPr>
          <w:p w14:paraId="7BA3E03C" w14:textId="2FF521E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1E6851B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767459F" w14:textId="2312BBE9" w:rsidTr="00DD3CA0">
        <w:tc>
          <w:tcPr>
            <w:tcW w:w="838" w:type="dxa"/>
          </w:tcPr>
          <w:p w14:paraId="1707BB64" w14:textId="0441B95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20BF8D7F"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C945695" w14:textId="6FA40F49" w:rsidTr="00C92ECF">
        <w:tc>
          <w:tcPr>
            <w:tcW w:w="838" w:type="dxa"/>
          </w:tcPr>
          <w:p w14:paraId="6CC5F191" w14:textId="00FE6AA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03EB4EAC" w14:textId="5217353F" w:rsidR="00DD3CA0" w:rsidRPr="00DD3CA0" w:rsidRDefault="00DD3CA0" w:rsidP="003B14A1">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65670E25" w14:textId="7535C65E" w:rsidTr="00C92ECF">
        <w:tc>
          <w:tcPr>
            <w:tcW w:w="838" w:type="dxa"/>
          </w:tcPr>
          <w:p w14:paraId="5CDBE971" w14:textId="36782EF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2B07F298"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1E3A0575" w14:textId="6AF2812A" w:rsidTr="00C92ECF">
        <w:tc>
          <w:tcPr>
            <w:tcW w:w="838" w:type="dxa"/>
          </w:tcPr>
          <w:p w14:paraId="2DBE9FE5" w14:textId="023F6D7A"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74522130"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A8C8DE3" w14:textId="0DD0353D" w:rsidTr="00C92ECF">
        <w:tc>
          <w:tcPr>
            <w:tcW w:w="838" w:type="dxa"/>
          </w:tcPr>
          <w:p w14:paraId="507F9471" w14:textId="7C02600E"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19.</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7970FF3" w14:textId="77777777" w:rsidR="00DD3CA0" w:rsidRPr="00862FCF" w:rsidRDefault="00DD3CA0" w:rsidP="00862FCF">
            <w:pPr>
              <w:textAlignment w:val="baseline"/>
              <w:rPr>
                <w:rFonts w:ascii="Times New Roman" w:hAnsi="Times New Roman"/>
                <w:bCs/>
                <w:lang w:eastAsia="en-GB"/>
              </w:rPr>
            </w:pPr>
          </w:p>
        </w:tc>
      </w:tr>
    </w:tbl>
    <w:p w14:paraId="06434374" w14:textId="77777777" w:rsidR="00EF51C8" w:rsidRPr="0045223C" w:rsidRDefault="00EF51C8"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323" w:type="dxa"/>
        <w:tblLook w:val="04A0" w:firstRow="1" w:lastRow="0" w:firstColumn="1" w:lastColumn="0" w:noHBand="0" w:noVBand="1"/>
      </w:tblPr>
      <w:tblGrid>
        <w:gridCol w:w="837"/>
        <w:gridCol w:w="2875"/>
        <w:gridCol w:w="3087"/>
        <w:gridCol w:w="2524"/>
      </w:tblGrid>
      <w:tr w:rsidR="00DD3CA0" w:rsidRPr="0045223C" w14:paraId="533B51B4" w14:textId="18E3AE1F" w:rsidTr="00DD3CA0">
        <w:tc>
          <w:tcPr>
            <w:tcW w:w="837" w:type="dxa"/>
          </w:tcPr>
          <w:p w14:paraId="0084EEA3"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5" w:type="dxa"/>
          </w:tcPr>
          <w:p w14:paraId="06C39306"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17EBFC50"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19B8E96" w14:textId="2B74B0FB"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36ED2020" w14:textId="77B9FA96" w:rsidTr="00DD3CA0">
        <w:tc>
          <w:tcPr>
            <w:tcW w:w="837" w:type="dxa"/>
          </w:tcPr>
          <w:p w14:paraId="25BA5746"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5" w:type="dxa"/>
            <w:vAlign w:val="center"/>
          </w:tcPr>
          <w:p w14:paraId="78B2D15F"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7F172B82"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4CF547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5564C0" w14:textId="10E90CF7" w:rsidTr="00DD3CA0">
        <w:tc>
          <w:tcPr>
            <w:tcW w:w="837" w:type="dxa"/>
          </w:tcPr>
          <w:p w14:paraId="41F635E1"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prožektors (135W / 15000-15750 Lm)</w:t>
            </w:r>
          </w:p>
        </w:tc>
        <w:tc>
          <w:tcPr>
            <w:tcW w:w="2524" w:type="dxa"/>
            <w:tcBorders>
              <w:top w:val="single" w:sz="6" w:space="0" w:color="auto"/>
              <w:left w:val="single" w:sz="6" w:space="0" w:color="auto"/>
              <w:bottom w:val="single" w:sz="6" w:space="0" w:color="auto"/>
              <w:right w:val="single" w:sz="6" w:space="0" w:color="auto"/>
            </w:tcBorders>
          </w:tcPr>
          <w:p w14:paraId="57A3132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57192A" w14:textId="2621CA0F" w:rsidTr="00DD3CA0">
        <w:tc>
          <w:tcPr>
            <w:tcW w:w="837" w:type="dxa"/>
          </w:tcPr>
          <w:p w14:paraId="4006E91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10 kg.</w:t>
            </w:r>
          </w:p>
        </w:tc>
        <w:tc>
          <w:tcPr>
            <w:tcW w:w="2524" w:type="dxa"/>
            <w:tcBorders>
              <w:top w:val="single" w:sz="6" w:space="0" w:color="auto"/>
              <w:left w:val="single" w:sz="6" w:space="0" w:color="auto"/>
              <w:bottom w:val="single" w:sz="6" w:space="0" w:color="auto"/>
              <w:right w:val="single" w:sz="6" w:space="0" w:color="auto"/>
            </w:tcBorders>
          </w:tcPr>
          <w:p w14:paraId="7951589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A0F04D" w14:textId="40C0B36F" w:rsidTr="00DD3CA0">
        <w:tc>
          <w:tcPr>
            <w:tcW w:w="837" w:type="dxa"/>
          </w:tcPr>
          <w:p w14:paraId="786D2650"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 gab.</w:t>
            </w:r>
          </w:p>
        </w:tc>
        <w:tc>
          <w:tcPr>
            <w:tcW w:w="2524" w:type="dxa"/>
            <w:tcBorders>
              <w:top w:val="single" w:sz="6" w:space="0" w:color="auto"/>
              <w:left w:val="single" w:sz="6" w:space="0" w:color="auto"/>
              <w:bottom w:val="single" w:sz="6" w:space="0" w:color="auto"/>
              <w:right w:val="single" w:sz="6" w:space="0" w:color="auto"/>
            </w:tcBorders>
          </w:tcPr>
          <w:p w14:paraId="3BB078A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5F5DA92" w14:textId="7C124608" w:rsidTr="00DD3CA0">
        <w:tc>
          <w:tcPr>
            <w:tcW w:w="837" w:type="dxa"/>
          </w:tcPr>
          <w:p w14:paraId="122F867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6415A22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8E4129" w14:textId="2CFABF1C" w:rsidTr="00DD3CA0">
        <w:tc>
          <w:tcPr>
            <w:tcW w:w="837" w:type="dxa"/>
          </w:tcPr>
          <w:p w14:paraId="63CEEBD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2A82623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A795F1" w14:textId="66FE0DE0" w:rsidTr="00DD3CA0">
        <w:tc>
          <w:tcPr>
            <w:tcW w:w="837" w:type="dxa"/>
          </w:tcPr>
          <w:p w14:paraId="2566723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B6731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F7DC06E" w14:textId="00F32BFD" w:rsidTr="00DD3CA0">
        <w:tc>
          <w:tcPr>
            <w:tcW w:w="837" w:type="dxa"/>
          </w:tcPr>
          <w:p w14:paraId="0F3004C3"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0BEB490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45E0FC1" w14:textId="5C5E3DC8" w:rsidTr="00DD3CA0">
        <w:tc>
          <w:tcPr>
            <w:tcW w:w="837" w:type="dxa"/>
          </w:tcPr>
          <w:p w14:paraId="364C09A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267500A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47CCCAF" w14:textId="71A5EFE9" w:rsidTr="00DD3CA0">
        <w:tc>
          <w:tcPr>
            <w:tcW w:w="837" w:type="dxa"/>
          </w:tcPr>
          <w:p w14:paraId="378F4C4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05F1AC2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F0F6B95" w14:textId="23669E1A" w:rsidTr="00DD3CA0">
        <w:tc>
          <w:tcPr>
            <w:tcW w:w="837" w:type="dxa"/>
          </w:tcPr>
          <w:p w14:paraId="42C5071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32CC12E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DCD5E8D" w14:textId="59FEF2E0" w:rsidTr="00DD3CA0">
        <w:tc>
          <w:tcPr>
            <w:tcW w:w="837" w:type="dxa"/>
          </w:tcPr>
          <w:p w14:paraId="1D9F0DB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24B860F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63A5E5A" w14:textId="506D3C59" w:rsidTr="00DD3CA0">
        <w:tc>
          <w:tcPr>
            <w:tcW w:w="837" w:type="dxa"/>
          </w:tcPr>
          <w:p w14:paraId="6AB0F6B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09B100E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55F7E72" w14:textId="667C0D82" w:rsidTr="00DD3CA0">
        <w:tc>
          <w:tcPr>
            <w:tcW w:w="837" w:type="dxa"/>
          </w:tcPr>
          <w:p w14:paraId="0842695B"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401F168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84696B3" w14:textId="03B0453D" w:rsidTr="00DD3CA0">
        <w:tc>
          <w:tcPr>
            <w:tcW w:w="837" w:type="dxa"/>
          </w:tcPr>
          <w:p w14:paraId="2B829AF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1C5CE2DE"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7CEB2C7F" w14:textId="327830D9" w:rsidTr="00A5072B">
        <w:tc>
          <w:tcPr>
            <w:tcW w:w="837" w:type="dxa"/>
          </w:tcPr>
          <w:p w14:paraId="68E18B95" w14:textId="528C0BAE"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7F6B246" w14:textId="4731224C"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4D9FADE0" w14:textId="5E21FF2B" w:rsidTr="00A5072B">
        <w:tc>
          <w:tcPr>
            <w:tcW w:w="837" w:type="dxa"/>
          </w:tcPr>
          <w:p w14:paraId="6B84DBB4" w14:textId="362CFC1C"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5947095C"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E6430FF" w14:textId="153EE81D" w:rsidTr="00A5072B">
        <w:tc>
          <w:tcPr>
            <w:tcW w:w="837" w:type="dxa"/>
          </w:tcPr>
          <w:p w14:paraId="13EFAB13" w14:textId="75FD496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18.</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295B6446"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77D7F9F" w14:textId="32228CB3" w:rsidTr="00A5072B">
        <w:tc>
          <w:tcPr>
            <w:tcW w:w="837" w:type="dxa"/>
          </w:tcPr>
          <w:p w14:paraId="2D54DEFE" w14:textId="3384F9FC"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727C7C80" w14:textId="77777777" w:rsidR="00DD3CA0" w:rsidRPr="00862FCF" w:rsidRDefault="00DD3CA0" w:rsidP="00862FCF">
            <w:pPr>
              <w:textAlignment w:val="baseline"/>
              <w:rPr>
                <w:rFonts w:ascii="Times New Roman" w:hAnsi="Times New Roman"/>
                <w:bCs/>
                <w:lang w:eastAsia="en-GB"/>
              </w:rPr>
            </w:pP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323" w:type="dxa"/>
        <w:tblLook w:val="04A0" w:firstRow="1" w:lastRow="0" w:firstColumn="1" w:lastColumn="0" w:noHBand="0" w:noVBand="1"/>
      </w:tblPr>
      <w:tblGrid>
        <w:gridCol w:w="837"/>
        <w:gridCol w:w="2676"/>
        <w:gridCol w:w="3286"/>
        <w:gridCol w:w="2524"/>
      </w:tblGrid>
      <w:tr w:rsidR="00DD3CA0" w:rsidRPr="0045223C" w14:paraId="5E181B7F" w14:textId="3ECAA3AE" w:rsidTr="00DD3CA0">
        <w:tc>
          <w:tcPr>
            <w:tcW w:w="837" w:type="dxa"/>
          </w:tcPr>
          <w:p w14:paraId="199A944F"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676" w:type="dxa"/>
          </w:tcPr>
          <w:p w14:paraId="5A3863E7"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286" w:type="dxa"/>
          </w:tcPr>
          <w:p w14:paraId="405D8084"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EF62219" w14:textId="3E14BDF6"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21B9E76F" w14:textId="43871BC2" w:rsidTr="00DD3CA0">
        <w:tc>
          <w:tcPr>
            <w:tcW w:w="837" w:type="dxa"/>
          </w:tcPr>
          <w:p w14:paraId="5DE3C54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676" w:type="dxa"/>
            <w:vAlign w:val="center"/>
          </w:tcPr>
          <w:p w14:paraId="06143573" w14:textId="2EECDD4B"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3286" w:type="dxa"/>
            <w:vAlign w:val="center"/>
          </w:tcPr>
          <w:p w14:paraId="50532B88"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140B2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DD5C5F2" w14:textId="1A1CF296" w:rsidTr="00DD3CA0">
        <w:tc>
          <w:tcPr>
            <w:tcW w:w="837" w:type="dxa"/>
          </w:tcPr>
          <w:p w14:paraId="73F05DCB" w14:textId="2146630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 veids un jauda:</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spuldze dimmējama (5,5W / 600 LUM zālei)</w:t>
            </w:r>
          </w:p>
        </w:tc>
        <w:tc>
          <w:tcPr>
            <w:tcW w:w="2524" w:type="dxa"/>
            <w:tcBorders>
              <w:top w:val="single" w:sz="6" w:space="0" w:color="auto"/>
              <w:left w:val="single" w:sz="6" w:space="0" w:color="auto"/>
              <w:bottom w:val="single" w:sz="6" w:space="0" w:color="auto"/>
              <w:right w:val="single" w:sz="6" w:space="0" w:color="auto"/>
            </w:tcBorders>
          </w:tcPr>
          <w:p w14:paraId="639318B7"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957C47" w14:textId="1D28157A" w:rsidTr="00DD3CA0">
        <w:tc>
          <w:tcPr>
            <w:tcW w:w="837" w:type="dxa"/>
          </w:tcPr>
          <w:p w14:paraId="3899A144" w14:textId="171E77C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c>
          <w:tcPr>
            <w:tcW w:w="2524" w:type="dxa"/>
            <w:tcBorders>
              <w:top w:val="single" w:sz="6" w:space="0" w:color="auto"/>
              <w:left w:val="single" w:sz="6" w:space="0" w:color="auto"/>
              <w:bottom w:val="single" w:sz="6" w:space="0" w:color="auto"/>
              <w:right w:val="single" w:sz="6" w:space="0" w:color="auto"/>
            </w:tcBorders>
          </w:tcPr>
          <w:p w14:paraId="25CC998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BC723" w14:textId="35299579" w:rsidTr="00DD3CA0">
        <w:tc>
          <w:tcPr>
            <w:tcW w:w="837" w:type="dxa"/>
          </w:tcPr>
          <w:p w14:paraId="58CD93BF" w14:textId="1A79614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175811DC"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167A18" w14:textId="28B1E2AA" w:rsidTr="00DD3CA0">
        <w:tc>
          <w:tcPr>
            <w:tcW w:w="837" w:type="dxa"/>
          </w:tcPr>
          <w:p w14:paraId="06936CC6" w14:textId="34E361F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4B516102"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1BFE7" w14:textId="0C036DFC" w:rsidTr="00DD3CA0">
        <w:tc>
          <w:tcPr>
            <w:tcW w:w="837" w:type="dxa"/>
          </w:tcPr>
          <w:p w14:paraId="0A56D26C" w14:textId="491B1E2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7A9F11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68A64E9" w14:textId="436A4586" w:rsidTr="00DD3CA0">
        <w:tc>
          <w:tcPr>
            <w:tcW w:w="837" w:type="dxa"/>
          </w:tcPr>
          <w:p w14:paraId="05DBF3B6" w14:textId="7C81F4C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5EFA01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EEBBE0B" w14:textId="381CDF5E" w:rsidTr="00DD3CA0">
        <w:tc>
          <w:tcPr>
            <w:tcW w:w="837" w:type="dxa"/>
          </w:tcPr>
          <w:p w14:paraId="5A2BF31C" w14:textId="38DB0FB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46B1F23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9D58CBF" w14:textId="33A6E6E0" w:rsidTr="00DD3CA0">
        <w:tc>
          <w:tcPr>
            <w:tcW w:w="837" w:type="dxa"/>
          </w:tcPr>
          <w:p w14:paraId="54E669BC" w14:textId="6471C70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24F3FB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12FE3CD" w14:textId="3F088084" w:rsidTr="00DD3CA0">
        <w:tc>
          <w:tcPr>
            <w:tcW w:w="837" w:type="dxa"/>
          </w:tcPr>
          <w:p w14:paraId="30853109" w14:textId="413D084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c>
          <w:tcPr>
            <w:tcW w:w="2524" w:type="dxa"/>
            <w:tcBorders>
              <w:top w:val="single" w:sz="6" w:space="0" w:color="auto"/>
              <w:left w:val="single" w:sz="6" w:space="0" w:color="auto"/>
              <w:bottom w:val="single" w:sz="6" w:space="0" w:color="auto"/>
              <w:right w:val="single" w:sz="6" w:space="0" w:color="auto"/>
            </w:tcBorders>
          </w:tcPr>
          <w:p w14:paraId="443710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CDBE663" w14:textId="0F83182B" w:rsidTr="00DD3CA0">
        <w:tc>
          <w:tcPr>
            <w:tcW w:w="837" w:type="dxa"/>
          </w:tcPr>
          <w:p w14:paraId="1542ED54" w14:textId="56BC0FE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342D16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7E6D465" w14:textId="25686DEE" w:rsidTr="00DD3CA0">
        <w:tc>
          <w:tcPr>
            <w:tcW w:w="837" w:type="dxa"/>
          </w:tcPr>
          <w:p w14:paraId="1B2270C2" w14:textId="7195254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324E13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9D6355F" w14:textId="78513574" w:rsidTr="00DD3CA0">
        <w:tc>
          <w:tcPr>
            <w:tcW w:w="837" w:type="dxa"/>
          </w:tcPr>
          <w:p w14:paraId="1D6F0913" w14:textId="2A75BA9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5E7CA18B"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2255D2C5" w14:textId="6E4E3BD1" w:rsidTr="00CD22F3">
        <w:tc>
          <w:tcPr>
            <w:tcW w:w="837" w:type="dxa"/>
          </w:tcPr>
          <w:p w14:paraId="7A93677B" w14:textId="62A3CC06"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A59B776" w14:textId="52A1EC2F"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 xml:space="preserve">Jāiesniedz dokumenti, kas apliecina atbilstību </w:t>
            </w:r>
            <w:r w:rsidRPr="00DD3CA0">
              <w:rPr>
                <w:rFonts w:ascii="Times New Roman" w:hAnsi="Times New Roman" w:cs="Times New Roman"/>
                <w:bCs/>
                <w:i/>
                <w:iCs/>
                <w:sz w:val="24"/>
                <w:szCs w:val="24"/>
                <w:lang w:eastAsia="en-GB"/>
              </w:rPr>
              <w:lastRenderedPageBreak/>
              <w:t>minētajiem standartiem/direktīvām.</w:t>
            </w:r>
          </w:p>
        </w:tc>
      </w:tr>
      <w:tr w:rsidR="00DD3CA0" w:rsidRPr="0045223C" w14:paraId="42937925" w14:textId="6EE0117E" w:rsidTr="00CD22F3">
        <w:tc>
          <w:tcPr>
            <w:tcW w:w="837" w:type="dxa"/>
          </w:tcPr>
          <w:p w14:paraId="1A23882A" w14:textId="12DC82C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15.</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250BF0A2"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4D3750A0" w14:textId="561B3305" w:rsidTr="00CD22F3">
        <w:tc>
          <w:tcPr>
            <w:tcW w:w="837" w:type="dxa"/>
          </w:tcPr>
          <w:p w14:paraId="2E64B3A7" w14:textId="63B8ABC0"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6C811B2F"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621C8749" w14:textId="2FFCC825" w:rsidTr="00CD22F3">
        <w:tc>
          <w:tcPr>
            <w:tcW w:w="837" w:type="dxa"/>
          </w:tcPr>
          <w:p w14:paraId="2A146BD3" w14:textId="35503D75" w:rsidR="00DD3CA0" w:rsidRPr="00862FCF" w:rsidRDefault="00DD3CA0"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F9706D7" w14:textId="77777777" w:rsidR="00DD3CA0" w:rsidRPr="00862FCF" w:rsidRDefault="00DD3CA0" w:rsidP="00862FCF">
            <w:pPr>
              <w:textAlignment w:val="baseline"/>
              <w:rPr>
                <w:rFonts w:ascii="Times New Roman" w:hAnsi="Times New Roman"/>
                <w:bCs/>
                <w:lang w:eastAsia="en-GB"/>
              </w:rPr>
            </w:pP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690A785B"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D50F8E">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4348155D" w14:textId="77777777" w:rsidR="00DD3CA0"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DD3CA0" w:rsidRPr="00DD3C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3606F093"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8. 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EE5867" w:rsidRDefault="003B14A1" w:rsidP="003B14A1">
      <w:pPr>
        <w:spacing w:after="0" w:line="240" w:lineRule="auto"/>
        <w:rPr>
          <w:rFonts w:ascii="Times New Roman" w:hAnsi="Times New Roman" w:cs="Times New Roman"/>
          <w:b/>
          <w:sz w:val="24"/>
          <w:szCs w:val="24"/>
        </w:rPr>
      </w:pPr>
    </w:p>
    <w:p w14:paraId="1DA809BA" w14:textId="0C7FBB0A" w:rsidR="00DD3CA0" w:rsidRPr="00EE5867" w:rsidRDefault="00DD3CA0" w:rsidP="00EE5867">
      <w:pPr>
        <w:jc w:val="center"/>
        <w:rPr>
          <w:rFonts w:ascii="Times New Roman" w:hAnsi="Times New Roman"/>
          <w:b/>
          <w:i/>
          <w:sz w:val="20"/>
          <w:szCs w:val="20"/>
        </w:rPr>
      </w:pPr>
      <w:r w:rsidRPr="00EE5867">
        <w:rPr>
          <w:rFonts w:ascii="Times New Roman" w:hAnsi="Times New Roman"/>
          <w:b/>
          <w:i/>
          <w:sz w:val="20"/>
          <w:szCs w:val="20"/>
        </w:rPr>
        <w:t>_____________________________________________________________________________</w:t>
      </w:r>
    </w:p>
    <w:tbl>
      <w:tblPr>
        <w:tblW w:w="0" w:type="auto"/>
        <w:tblLook w:val="01E0" w:firstRow="1" w:lastRow="1" w:firstColumn="1" w:lastColumn="1" w:noHBand="0" w:noVBand="0"/>
      </w:tblPr>
      <w:tblGrid>
        <w:gridCol w:w="8528"/>
      </w:tblGrid>
      <w:tr w:rsidR="00EE5867" w:rsidRPr="00EE5867" w14:paraId="11F1FF54" w14:textId="77777777" w:rsidTr="00DD3CA0">
        <w:tc>
          <w:tcPr>
            <w:tcW w:w="8528" w:type="dxa"/>
          </w:tcPr>
          <w:p w14:paraId="5289F7BD" w14:textId="71B8D2F6" w:rsidR="00DD3CA0" w:rsidRPr="00EE5867" w:rsidRDefault="00DD3CA0" w:rsidP="00DD3CA0">
            <w:pPr>
              <w:tabs>
                <w:tab w:val="center" w:pos="7697"/>
                <w:tab w:val="right" w:pos="11850"/>
              </w:tabs>
              <w:jc w:val="right"/>
              <w:rPr>
                <w:rFonts w:ascii="Times New Roman" w:hAnsi="Times New Roman"/>
                <w:b/>
                <w:i/>
                <w:sz w:val="20"/>
                <w:szCs w:val="20"/>
              </w:rPr>
            </w:pPr>
            <w:r w:rsidRPr="00EE5867">
              <w:rPr>
                <w:rFonts w:ascii="Times New Roman" w:hAnsi="Times New Roman"/>
                <w:b/>
                <w:i/>
                <w:sz w:val="20"/>
                <w:szCs w:val="20"/>
                <w:lang w:eastAsia="lv-LV"/>
              </w:rPr>
              <w:t>/personas a</w:t>
            </w:r>
            <w:r w:rsidR="00D7671A">
              <w:rPr>
                <w:rFonts w:ascii="Times New Roman" w:hAnsi="Times New Roman"/>
                <w:b/>
                <w:i/>
                <w:sz w:val="20"/>
                <w:szCs w:val="20"/>
                <w:lang w:eastAsia="lv-LV"/>
              </w:rPr>
              <w:t>r tiesībām pārstāvēt Pretendenta</w:t>
            </w:r>
            <w:r w:rsidRPr="00EE5867">
              <w:rPr>
                <w:rFonts w:ascii="Times New Roman" w:hAnsi="Times New Roman"/>
                <w:b/>
                <w:i/>
                <w:sz w:val="20"/>
                <w:szCs w:val="20"/>
                <w:lang w:eastAsia="lv-LV"/>
              </w:rPr>
              <w:t xml:space="preserve"> vārds, uzvārds, paraksts, ieņemamais amats/</w:t>
            </w:r>
          </w:p>
        </w:tc>
      </w:tr>
    </w:tbl>
    <w:p w14:paraId="3C37A769" w14:textId="55355921" w:rsidR="00195187" w:rsidRPr="00EE5867" w:rsidRDefault="00195187" w:rsidP="00EE5867">
      <w:pPr>
        <w:jc w:val="both"/>
        <w:rPr>
          <w:rFonts w:ascii="Times New Roman" w:hAnsi="Times New Roman" w:cs="Times New Roman"/>
          <w:b/>
          <w:sz w:val="24"/>
          <w:szCs w:val="24"/>
        </w:rPr>
      </w:pPr>
    </w:p>
    <w:sectPr w:rsidR="00195187" w:rsidRPr="00EE5867"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B2"/>
    <w:rsid w:val="00153004"/>
    <w:rsid w:val="00177241"/>
    <w:rsid w:val="00195187"/>
    <w:rsid w:val="002C3CF6"/>
    <w:rsid w:val="002F168E"/>
    <w:rsid w:val="003B14A1"/>
    <w:rsid w:val="0045223C"/>
    <w:rsid w:val="006652B2"/>
    <w:rsid w:val="006869C8"/>
    <w:rsid w:val="00687EC6"/>
    <w:rsid w:val="007E3BE2"/>
    <w:rsid w:val="007F1AA0"/>
    <w:rsid w:val="00862FCF"/>
    <w:rsid w:val="00866A63"/>
    <w:rsid w:val="009C4666"/>
    <w:rsid w:val="00A270E2"/>
    <w:rsid w:val="00A304AC"/>
    <w:rsid w:val="00AB074F"/>
    <w:rsid w:val="00AD1CBF"/>
    <w:rsid w:val="00CC5729"/>
    <w:rsid w:val="00CD3949"/>
    <w:rsid w:val="00D50F8E"/>
    <w:rsid w:val="00D7671A"/>
    <w:rsid w:val="00DD3CA0"/>
    <w:rsid w:val="00E56796"/>
    <w:rsid w:val="00EE5867"/>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chartTrackingRefBased/>
  <w15:docId w15:val="{D538FA2D-01C0-421B-8D9B-99D126D8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030B-F8F5-4B18-9093-4CDBA10F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4876</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8</cp:revision>
  <dcterms:created xsi:type="dcterms:W3CDTF">2025-05-08T07:38:00Z</dcterms:created>
  <dcterms:modified xsi:type="dcterms:W3CDTF">2025-05-09T12:37:00Z</dcterms:modified>
</cp:coreProperties>
</file>