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273C00" w14:textId="77777777" w:rsidR="00827878" w:rsidRDefault="00000000" w:rsidP="00F25EF6">
      <w:pPr>
        <w:pStyle w:val="Standard"/>
        <w:jc w:val="both"/>
        <w:rPr>
          <w:rFonts w:ascii="Times New Roman" w:hAnsi="Times New Roman" w:cs="Times New Roman"/>
          <w:b/>
          <w:bCs/>
          <w:sz w:val="28"/>
          <w:szCs w:val="28"/>
        </w:rPr>
      </w:pPr>
      <w:r>
        <w:rPr>
          <w:rFonts w:ascii="Times New Roman" w:hAnsi="Times New Roman" w:cs="Times New Roman"/>
          <w:b/>
          <w:bCs/>
          <w:sz w:val="28"/>
          <w:szCs w:val="28"/>
        </w:rPr>
        <w:t>Jauni stratēģiskie virzieni un prioritātes</w:t>
      </w:r>
    </w:p>
    <w:p w14:paraId="6935BFE9" w14:textId="77777777" w:rsidR="00827878" w:rsidRDefault="00827878" w:rsidP="00F25EF6">
      <w:pPr>
        <w:pStyle w:val="Standard"/>
        <w:jc w:val="both"/>
        <w:rPr>
          <w:rFonts w:hint="eastAsia"/>
          <w:b/>
          <w:bCs/>
        </w:rPr>
      </w:pPr>
    </w:p>
    <w:p w14:paraId="4E104DC5" w14:textId="77777777" w:rsidR="00827878" w:rsidRDefault="00000000" w:rsidP="00F25EF6">
      <w:pPr>
        <w:pStyle w:val="Standard"/>
        <w:ind w:firstLine="340"/>
        <w:jc w:val="both"/>
        <w:rPr>
          <w:rFonts w:hint="eastAsia"/>
        </w:rPr>
      </w:pPr>
      <w:r>
        <w:rPr>
          <w:b/>
          <w:bCs/>
          <w:i/>
          <w:iCs/>
        </w:rPr>
        <w:t>LEADER</w:t>
      </w:r>
      <w:r>
        <w:rPr>
          <w:b/>
          <w:bCs/>
        </w:rPr>
        <w:t xml:space="preserve">/SVVA programmā sācies jaunais plānošanas periods 2023.–2027. gadam. Par “Ziemeļkurzemes biznesa asociācijas” (ZBA) izstrādāto Sabiedrības virzītu vietējās attīstības stratēģiju (SVVA) šim laikposmam stāsta ZBA koordinatore un </w:t>
      </w:r>
      <w:r>
        <w:rPr>
          <w:b/>
          <w:bCs/>
          <w:color w:val="000000"/>
        </w:rPr>
        <w:t>Eiropas Lauksaimniecības fonda lauku attīstībai (ELFLA) un</w:t>
      </w:r>
      <w:r>
        <w:rPr>
          <w:b/>
          <w:bCs/>
          <w:color w:val="212529"/>
        </w:rPr>
        <w:t xml:space="preserve"> </w:t>
      </w:r>
      <w:r>
        <w:rPr>
          <w:b/>
          <w:bCs/>
          <w:color w:val="000000"/>
        </w:rPr>
        <w:t>Eiropas Jūrlietu, zvejniecības un akvakultūras fonda (</w:t>
      </w:r>
      <w:r>
        <w:rPr>
          <w:b/>
          <w:bCs/>
          <w:color w:val="212529"/>
        </w:rPr>
        <w:t>EJZAF) administratore</w:t>
      </w:r>
      <w:r>
        <w:rPr>
          <w:b/>
          <w:bCs/>
        </w:rPr>
        <w:t xml:space="preserve"> Gunta Abaja un projektu koordinatore Andra Ratkeviča.</w:t>
      </w:r>
    </w:p>
    <w:p w14:paraId="62846FA2" w14:textId="77777777" w:rsidR="00827878" w:rsidRDefault="00000000" w:rsidP="00F25EF6">
      <w:pPr>
        <w:pStyle w:val="Standard"/>
        <w:ind w:firstLine="227"/>
        <w:jc w:val="both"/>
        <w:rPr>
          <w:rFonts w:hint="eastAsia"/>
        </w:rPr>
      </w:pPr>
      <w:r>
        <w:t xml:space="preserve"> </w:t>
      </w:r>
    </w:p>
    <w:p w14:paraId="0DBB775E" w14:textId="646AF458" w:rsidR="00827878" w:rsidRDefault="00000000" w:rsidP="00F25EF6">
      <w:pPr>
        <w:pStyle w:val="Standard"/>
        <w:ind w:firstLine="227"/>
        <w:jc w:val="both"/>
        <w:rPr>
          <w:rFonts w:hint="eastAsia"/>
        </w:rPr>
      </w:pPr>
      <w:r>
        <w:rPr>
          <w:b/>
          <w:bCs/>
        </w:rPr>
        <w:t>Divi stratēģiskie virzieni un kopējais finansējums</w:t>
      </w:r>
      <w:r w:rsidR="005B3BC2">
        <w:rPr>
          <w:b/>
          <w:bCs/>
        </w:rPr>
        <w:t>.</w:t>
      </w:r>
    </w:p>
    <w:p w14:paraId="6BDEF8A2" w14:textId="6B8DF37F" w:rsidR="00827878" w:rsidRDefault="00000000" w:rsidP="00F25EF6">
      <w:pPr>
        <w:pStyle w:val="Standard"/>
        <w:ind w:firstLine="227"/>
        <w:jc w:val="both"/>
        <w:rPr>
          <w:rFonts w:hint="eastAsia"/>
        </w:rPr>
      </w:pPr>
      <w:r>
        <w:t xml:space="preserve">Jaunajā periodā atbalsts būs mērķēts uzņēmējiem un </w:t>
      </w:r>
      <w:r w:rsidR="005B3BC2">
        <w:t xml:space="preserve">vietējām </w:t>
      </w:r>
      <w:r>
        <w:t>kopienām. Esam noteikuši divus stratēģiskos virzienus, kas izriet no mūsu rīkotajām iedzīvotāju aptaujām</w:t>
      </w:r>
      <w:r w:rsidR="00697F1C">
        <w:t>:</w:t>
      </w:r>
      <w:r>
        <w:t xml:space="preserve"> </w:t>
      </w:r>
      <w:r>
        <w:rPr>
          <w:b/>
          <w:bCs/>
        </w:rPr>
        <w:t xml:space="preserve">piekļuves un sasniedzamības uzlabošana Baltijas jūras piekrastei </w:t>
      </w:r>
      <w:r w:rsidRPr="00697F1C">
        <w:t>un</w:t>
      </w:r>
      <w:r>
        <w:rPr>
          <w:b/>
          <w:bCs/>
        </w:rPr>
        <w:t xml:space="preserve"> kultūrvēsturisko objektu infrastruktūras uzlabošana publiskajai pieejamībai.</w:t>
      </w:r>
    </w:p>
    <w:p w14:paraId="63F5547D" w14:textId="77777777" w:rsidR="00827878" w:rsidRDefault="00000000" w:rsidP="00F25EF6">
      <w:pPr>
        <w:pStyle w:val="Standard"/>
        <w:ind w:firstLine="227"/>
        <w:jc w:val="both"/>
        <w:rPr>
          <w:rFonts w:hint="eastAsia"/>
        </w:rPr>
      </w:pPr>
      <w:r>
        <w:t xml:space="preserve">Savai teritorijai no </w:t>
      </w:r>
      <w:r>
        <w:rPr>
          <w:color w:val="000000"/>
        </w:rPr>
        <w:t>ELFLA</w:t>
      </w:r>
      <w:r>
        <w:rPr>
          <w:b/>
          <w:bCs/>
          <w:color w:val="000000"/>
        </w:rPr>
        <w:t xml:space="preserve"> </w:t>
      </w:r>
      <w:r>
        <w:t xml:space="preserve">esam piesaistījuši vienu miljonu trīssimt astoņdesmit tūkstošus eiro un no </w:t>
      </w:r>
      <w:r>
        <w:rPr>
          <w:color w:val="212529"/>
        </w:rPr>
        <w:t xml:space="preserve">EJZAF </w:t>
      </w:r>
      <w:r>
        <w:t>(attiecas uz pirmo pagastu no jūras un Ventspils pilsētu) četrus miljonus un piecsimt tūkstošus eiro. Vēl papildus ar mūsu starpniecību varēs attīstīt Ventspils ostas infrastruktūru zvejniecības vajadzībām. Ostām piesaistītais finansējums ir virs 5,6 miljoniem eiro.</w:t>
      </w:r>
    </w:p>
    <w:p w14:paraId="55B72024" w14:textId="77777777" w:rsidR="00827878" w:rsidRDefault="00000000" w:rsidP="00F25EF6">
      <w:pPr>
        <w:pStyle w:val="Standard"/>
        <w:ind w:firstLine="227"/>
        <w:jc w:val="both"/>
        <w:rPr>
          <w:rFonts w:hint="eastAsia"/>
        </w:rPr>
      </w:pPr>
      <w:r>
        <w:t>Lauku teritorijā no ELFLA atbalstu var saņemt tikai tie uzņēmumi, kam apgrozījums iepriekšējā gadā nav pārsniedzis 150 000 eiro. EJZAF šādu ierobežojumu nav.</w:t>
      </w:r>
    </w:p>
    <w:p w14:paraId="6D58F205" w14:textId="7BF76031" w:rsidR="00827878" w:rsidRDefault="005B3BC2" w:rsidP="00F25EF6">
      <w:pPr>
        <w:pStyle w:val="Standard"/>
        <w:ind w:firstLine="227"/>
        <w:jc w:val="both"/>
        <w:rPr>
          <w:rFonts w:hint="eastAsia"/>
        </w:rPr>
      </w:pPr>
      <w:r>
        <w:t xml:space="preserve">Sākam izsludināt projektu konkursus. </w:t>
      </w:r>
      <w:r>
        <w:rPr>
          <w:b/>
          <w:bCs/>
        </w:rPr>
        <w:t>Pirmajai kārtai tie jāiesniedz no 29. II –</w:t>
      </w:r>
      <w:r>
        <w:t xml:space="preserve"> </w:t>
      </w:r>
      <w:r>
        <w:rPr>
          <w:b/>
          <w:bCs/>
        </w:rPr>
        <w:t>līdz 29. III.</w:t>
      </w:r>
      <w:r>
        <w:t xml:space="preserve"> Mūsu rīcībā ir 80 % kopējā finansējuma, kas jāapgūst divos gados. Ja to paveiksim, </w:t>
      </w:r>
      <w:r w:rsidR="00F25EF6">
        <w:t>4</w:t>
      </w:r>
      <w:r>
        <w:t>tad saņemsim atlikušos 20 %.</w:t>
      </w:r>
    </w:p>
    <w:p w14:paraId="0849AE12" w14:textId="77777777" w:rsidR="00827878" w:rsidRDefault="00827878" w:rsidP="00F25EF6">
      <w:pPr>
        <w:pStyle w:val="Standard"/>
        <w:ind w:firstLine="227"/>
        <w:jc w:val="both"/>
        <w:rPr>
          <w:rFonts w:hint="eastAsia"/>
          <w:b/>
          <w:bCs/>
        </w:rPr>
      </w:pPr>
    </w:p>
    <w:p w14:paraId="2C39DDFC" w14:textId="70541307" w:rsidR="00827878" w:rsidRDefault="00000000" w:rsidP="00F25EF6">
      <w:pPr>
        <w:pStyle w:val="Standard"/>
        <w:ind w:firstLine="227"/>
        <w:jc w:val="both"/>
        <w:rPr>
          <w:rFonts w:hint="eastAsia"/>
          <w:b/>
          <w:bCs/>
        </w:rPr>
      </w:pPr>
      <w:r>
        <w:rPr>
          <w:b/>
          <w:bCs/>
        </w:rPr>
        <w:t>Jaunais jaunajā periodā</w:t>
      </w:r>
      <w:r w:rsidR="005B3BC2">
        <w:rPr>
          <w:b/>
          <w:bCs/>
        </w:rPr>
        <w:t>.</w:t>
      </w:r>
    </w:p>
    <w:p w14:paraId="4305DBD2" w14:textId="1C1F88FD" w:rsidR="00827878" w:rsidRDefault="00000000" w:rsidP="00F25EF6">
      <w:pPr>
        <w:pStyle w:val="Standard"/>
        <w:ind w:firstLine="227"/>
        <w:jc w:val="both"/>
        <w:rPr>
          <w:rFonts w:hint="eastAsia"/>
        </w:rPr>
      </w:pPr>
      <w:r>
        <w:t xml:space="preserve">ELFLA nav vairs tik labvēlīgi projektu atbalsta procenti – kādreiz tie bija 70 %, tagad ir 40 %. Šo slieksni gan var paaugstināt ar konkrētām prioritātēm. Atsevišķa rīcība ir paredzēta </w:t>
      </w:r>
      <w:r w:rsidR="00EC1F8E">
        <w:t>lielākām investīcijām</w:t>
      </w:r>
      <w:r>
        <w:t xml:space="preserve">. Tikai tie uzņēmumi, kuriem apgrozījums iepriekšējā gadā ir 100 000 eiro, varēs īstenot projektus ar attiecināmām izmaksām </w:t>
      </w:r>
      <w:r w:rsidR="006E1DA5">
        <w:t>līdz</w:t>
      </w:r>
      <w:r>
        <w:t xml:space="preserve"> 200 000 eiro. Pārējiem uzņēmumiem, kam nav šāda apgrozījuma, </w:t>
      </w:r>
      <w:r w:rsidR="00697F1C">
        <w:t xml:space="preserve">un jaunu uzņēmumu veidotājiem </w:t>
      </w:r>
      <w:r>
        <w:t>attiecināmās izmaksas ir līdz 70 000 eiro. Pašvaldības kopienas infrastruktūras uzlabojumiem var saņemt 100 000 eiro atbalstu, pārējiem projektiem – 50 000 eiro.</w:t>
      </w:r>
    </w:p>
    <w:p w14:paraId="52CEE7DF" w14:textId="2FA054A8" w:rsidR="00827878" w:rsidRDefault="00697F1C" w:rsidP="00F25EF6">
      <w:pPr>
        <w:pStyle w:val="Standard"/>
        <w:ind w:firstLine="227"/>
        <w:jc w:val="both"/>
        <w:rPr>
          <w:rFonts w:hint="eastAsia"/>
        </w:rPr>
      </w:pPr>
      <w:r>
        <w:rPr>
          <w:color w:val="212529"/>
        </w:rPr>
        <w:t>EJZAF</w:t>
      </w:r>
      <w:r>
        <w:t xml:space="preserve"> uzņēmējdarbības projektiem maksimālais atbalsts ir līdz 200 000 eiro vienam projektam.</w:t>
      </w:r>
    </w:p>
    <w:p w14:paraId="66A23505" w14:textId="34DC7B70" w:rsidR="00827878" w:rsidRDefault="00000000" w:rsidP="00F25EF6">
      <w:pPr>
        <w:pStyle w:val="Standard"/>
        <w:ind w:firstLine="227"/>
        <w:jc w:val="both"/>
        <w:rPr>
          <w:rFonts w:hint="eastAsia"/>
        </w:rPr>
      </w:pPr>
      <w:r>
        <w:t>Arī kopienu projektiem attiecināmās izmaksas nav vairs 90 %, bet 70 %. Bet arī te ir noteiktas prioritārās grupas, galvenokārt bērnu un jauniešu interešu aktivitātes, prasmju apguves iniciatīvas un kultūrvēstures objektu infrastruktūra (tiem gan jābūt kultūras pieminekļu sarakstā), kas ļauj šo atbalstu palielināt līdz 90 %.</w:t>
      </w:r>
    </w:p>
    <w:p w14:paraId="77D8E6F1" w14:textId="77777777" w:rsidR="00827878" w:rsidRDefault="00000000" w:rsidP="00F25EF6">
      <w:pPr>
        <w:pStyle w:val="Standard"/>
        <w:ind w:firstLine="227"/>
        <w:jc w:val="both"/>
        <w:rPr>
          <w:rFonts w:hint="eastAsia"/>
        </w:rPr>
      </w:pPr>
      <w:r>
        <w:t xml:space="preserve">Pagaidām vēl nav izstrādāti MK noteikumi sadarbības projektiem. Arī mūsu teritorijā ir aizsākusies viedo ciemu kustība, un šādas ciemu kopienas varēs saņemt lielāku </w:t>
      </w:r>
      <w:r>
        <w:rPr>
          <w:i/>
          <w:iCs/>
        </w:rPr>
        <w:t>LEADER</w:t>
      </w:r>
      <w:r>
        <w:t xml:space="preserve"> atbalstu, lai varētu mācīties un savstarpēji sadarboties.</w:t>
      </w:r>
    </w:p>
    <w:p w14:paraId="57209B7E" w14:textId="77777777" w:rsidR="00827878" w:rsidRDefault="00000000" w:rsidP="00F25EF6">
      <w:pPr>
        <w:pStyle w:val="Standard"/>
        <w:ind w:firstLine="227"/>
        <w:jc w:val="both"/>
        <w:rPr>
          <w:rFonts w:hint="eastAsia"/>
        </w:rPr>
      </w:pPr>
      <w:r>
        <w:t xml:space="preserve">ES tagad ir paredzēts lielāks atbalsts zaļajam kursam, tāpēc stratēģijā iekļāvām prioritātes, kurām iespējams paaugstināt atbalsta procentus no saņemtā finansējuma. Iepriekš tāda iespēja bija tikai </w:t>
      </w:r>
      <w:r>
        <w:rPr>
          <w:color w:val="212529"/>
        </w:rPr>
        <w:t>EJZAF</w:t>
      </w:r>
      <w:r>
        <w:t xml:space="preserve"> saistībā ar inovācijām, tagad tāda ir arī </w:t>
      </w:r>
      <w:r>
        <w:rPr>
          <w:color w:val="000000"/>
        </w:rPr>
        <w:t>ELFLA</w:t>
      </w:r>
      <w:r>
        <w:t>, un tur prioritāšu ir krietni vairāk.</w:t>
      </w:r>
    </w:p>
    <w:p w14:paraId="5703A298" w14:textId="77777777" w:rsidR="005B3BC2" w:rsidRDefault="005B3BC2" w:rsidP="00F25EF6">
      <w:pPr>
        <w:pStyle w:val="Standard"/>
        <w:ind w:firstLine="227"/>
        <w:jc w:val="both"/>
        <w:rPr>
          <w:rFonts w:hint="eastAsia"/>
        </w:rPr>
      </w:pPr>
    </w:p>
    <w:p w14:paraId="2BF43960" w14:textId="52C5261D" w:rsidR="005B3BC2" w:rsidRDefault="005B3BC2" w:rsidP="00F25EF6">
      <w:pPr>
        <w:pStyle w:val="Standard"/>
        <w:ind w:firstLine="227"/>
        <w:jc w:val="both"/>
        <w:rPr>
          <w:rFonts w:hint="eastAsia"/>
          <w:b/>
          <w:bCs/>
        </w:rPr>
      </w:pPr>
      <w:r>
        <w:rPr>
          <w:b/>
          <w:bCs/>
        </w:rPr>
        <w:t>Ko vairs neatbalstīs.</w:t>
      </w:r>
    </w:p>
    <w:p w14:paraId="5349E86C" w14:textId="77777777" w:rsidR="005B3BC2" w:rsidRDefault="005B3BC2" w:rsidP="00F25EF6">
      <w:pPr>
        <w:pStyle w:val="Standard"/>
        <w:ind w:firstLine="227"/>
        <w:jc w:val="both"/>
        <w:rPr>
          <w:rFonts w:hint="eastAsia"/>
        </w:rPr>
      </w:pPr>
      <w:r>
        <w:t>Vairs neatbalstām rotaļu un sporta laukumu iekārtošanu, koru un deju kolektīvu tautas tērpu iegādi. Iedzīvotāji diemžēl ne vienmēr godprātīgi izturas pret jaunajiem laukumiem, arī to izvietojums mēdz būt nepārdomāts. Stratēģijas sagatavošanas posmā saņēmām norādes, ka turpmāk jābūt daudz lielākai pašu iedzīvotāju iesaistei. Nākotnē šādu ideju īstenošanai jāiegūst finansējums no pašvaldības līdzdalības budžeta.</w:t>
      </w:r>
    </w:p>
    <w:p w14:paraId="7787B33E" w14:textId="77777777" w:rsidR="005B3BC2" w:rsidRDefault="005B3BC2" w:rsidP="00F25EF6">
      <w:pPr>
        <w:pStyle w:val="Standard"/>
        <w:ind w:firstLine="227"/>
        <w:jc w:val="both"/>
        <w:rPr>
          <w:rFonts w:hint="eastAsia"/>
        </w:rPr>
      </w:pPr>
    </w:p>
    <w:p w14:paraId="18FA1900" w14:textId="09783954" w:rsidR="00827878" w:rsidRDefault="00000000" w:rsidP="00F25EF6">
      <w:pPr>
        <w:pStyle w:val="Standard"/>
        <w:ind w:firstLine="227"/>
        <w:jc w:val="both"/>
        <w:rPr>
          <w:rFonts w:hint="eastAsia"/>
        </w:rPr>
      </w:pPr>
      <w:r>
        <w:rPr>
          <w:b/>
          <w:bCs/>
        </w:rPr>
        <w:lastRenderedPageBreak/>
        <w:t>Uzņēmējdarbībā sāk darboties t. s. “Lauku biļete”.</w:t>
      </w:r>
      <w:r>
        <w:t xml:space="preserve"> Mazais uzņēmējs, kurš uzsāk darbību vai to jau dara, bet ne ilgāk par 18 mēnešiem, var saņemt atbalstu “Lauku biļetē”, kur attiecināmas izmaksas ir līdz 15 000 eiro. Piemēram, uzņēmējs īsteno mazo projektu, iegādājas kādu iekārtu un sāk to darbināt, un tas nozīmē, ka rezultāts jau ir sasniegts. “Lauku biļetē” ir vienkāršota metodika, drīkst iegādāties lietotu tehniku. Ja iesniedzējs ir jaunais uzņēmējs, kas nav darbojies ilgāk par 18 mēnešiem, ar lauksaimniecības izglītību un vēl tiek ievēroti daži nosacījumi, tad atbalsts var sasniegt pat 75 %.</w:t>
      </w:r>
    </w:p>
    <w:p w14:paraId="4D9DE1E0" w14:textId="77777777" w:rsidR="00827878" w:rsidRDefault="00000000" w:rsidP="00F25EF6">
      <w:pPr>
        <w:pStyle w:val="Standard"/>
        <w:ind w:firstLine="227"/>
        <w:jc w:val="both"/>
        <w:rPr>
          <w:rFonts w:hint="eastAsia"/>
        </w:rPr>
      </w:pPr>
      <w:r>
        <w:t>“Lauku biļeti” var arī neizmantot, bet pretendēt uz atbalstu līdz 70 000 eiro, taču tad vairs nedarbojas “Lauku biļetes” nosacījumi.</w:t>
      </w:r>
    </w:p>
    <w:p w14:paraId="3CEF3627" w14:textId="4EFDD270" w:rsidR="00827878" w:rsidRDefault="00000000" w:rsidP="00F25EF6">
      <w:pPr>
        <w:pStyle w:val="Standard"/>
        <w:ind w:firstLine="227"/>
        <w:jc w:val="both"/>
        <w:rPr>
          <w:rFonts w:hint="eastAsia"/>
        </w:rPr>
      </w:pPr>
      <w:r>
        <w:rPr>
          <w:b/>
          <w:bCs/>
        </w:rPr>
        <w:t>Jaunums ir jauniešu iniciatīvu atbalsts un “Jauniešu biļete”.</w:t>
      </w:r>
      <w:r>
        <w:t xml:space="preserve"> Jauniešu organizācijas, arī jauniešu centri pašvaldībā, var saņemt vienreizēju atbalstu – tieši 6000 eiro. Tās ir vienkāršotas izmaksas. Arī “Jauniešu biļetei”  ir sava noteikta metodika, un “biļete” ir domāta vienai, pašu jauniešu virzītai iecerei.</w:t>
      </w:r>
    </w:p>
    <w:p w14:paraId="3FFD3F99" w14:textId="67F4F6DE" w:rsidR="00827878" w:rsidRDefault="00000000" w:rsidP="00F25EF6">
      <w:pPr>
        <w:pStyle w:val="Standard"/>
        <w:ind w:firstLine="227"/>
        <w:jc w:val="both"/>
        <w:rPr>
          <w:rFonts w:hint="eastAsia"/>
        </w:rPr>
      </w:pPr>
      <w:r>
        <w:rPr>
          <w:color w:val="000000"/>
        </w:rPr>
        <w:t>ELFLA</w:t>
      </w:r>
      <w:r>
        <w:t xml:space="preserve"> ir noteikti savi prioritārie virzieni uzņēmējdarbībai. Ja ir inovatīvs projekts vai projektā iekļauts inovatīvs risinājums, pamata bāzes 40 % atbalstu varēs palielināt līdz </w:t>
      </w:r>
      <w:r w:rsidR="0056095C">
        <w:t>5</w:t>
      </w:r>
      <w:r>
        <w:t>5 %. Līdzīgi arī, ja projektā ir ietverta aprites ekonomika (tai stratēģijā ir dota definīcija</w:t>
      </w:r>
      <w:r w:rsidR="00AC563C">
        <w:t>)</w:t>
      </w:r>
      <w:r>
        <w:t>. Tāpat, ja tūrisma uzņēmējdarbībā ir iesaistīti kultūrvēsturiskie pieminekļi, pilis un muižas, iespējams saņemt lielāku atbalsta procentu. Līdz pat 25 % palielinājumu esam paredzējuši pašu pārstrādātai lauksaimniecības produkcijai.</w:t>
      </w:r>
    </w:p>
    <w:p w14:paraId="717DAAB8" w14:textId="77777777" w:rsidR="00827878" w:rsidRDefault="00827878" w:rsidP="00F25EF6">
      <w:pPr>
        <w:pStyle w:val="Standard"/>
        <w:ind w:firstLine="227"/>
        <w:jc w:val="both"/>
        <w:rPr>
          <w:rFonts w:hint="eastAsia"/>
        </w:rPr>
      </w:pPr>
    </w:p>
    <w:p w14:paraId="7D0B4263" w14:textId="55665B30" w:rsidR="00827878" w:rsidRDefault="00000000" w:rsidP="00F25EF6">
      <w:pPr>
        <w:pStyle w:val="Standard"/>
        <w:ind w:firstLine="227"/>
        <w:jc w:val="both"/>
        <w:rPr>
          <w:rFonts w:hint="eastAsia"/>
          <w:b/>
          <w:bCs/>
        </w:rPr>
      </w:pPr>
      <w:r>
        <w:rPr>
          <w:b/>
          <w:bCs/>
        </w:rPr>
        <w:t>Tūrisma uzņēmējdarbībai piekrastē – atsevišķa rīcība</w:t>
      </w:r>
      <w:r w:rsidR="005B3BC2">
        <w:rPr>
          <w:b/>
          <w:bCs/>
        </w:rPr>
        <w:t>.</w:t>
      </w:r>
    </w:p>
    <w:p w14:paraId="33FEBF62" w14:textId="7A7EEDDF" w:rsidR="00827878" w:rsidRDefault="00000000" w:rsidP="00F25EF6">
      <w:pPr>
        <w:pStyle w:val="Standard"/>
        <w:ind w:firstLine="227"/>
        <w:jc w:val="both"/>
        <w:rPr>
          <w:rFonts w:hint="eastAsia"/>
        </w:rPr>
      </w:pPr>
      <w:r>
        <w:t>Iepriekš EJZAF uzņēmējdarbībai bija paredzēta tikai viena rīcība. Skatoties, kā piekrastē ir attīstījies tūrisms, kā atmaksājušies ieguldījumi un kāda ir jaunradīto objektu dzīvotspēja, tagad tūrisma uzņēmējdarbībai ir iedalīta atsevišķa rīcība. Gribam veicināt dabas</w:t>
      </w:r>
      <w:r w:rsidR="00AC563C">
        <w:t xml:space="preserve"> </w:t>
      </w:r>
      <w:r>
        <w:t>tūrismu, pagarināt īso ceļošanas sezonu. Ekotūrisms ietver ne tikai došanos ārpus pilsētas, bet arī sniegto labumu vietējai kopienai, proti, uzņēmēja nopelnītā nauda paliek turpat uz vietas.</w:t>
      </w:r>
    </w:p>
    <w:p w14:paraId="4F00F056" w14:textId="77777777" w:rsidR="00827878" w:rsidRDefault="00000000" w:rsidP="00F25EF6">
      <w:pPr>
        <w:pStyle w:val="Standard"/>
        <w:ind w:firstLine="227"/>
        <w:jc w:val="both"/>
        <w:rPr>
          <w:rFonts w:hint="eastAsia"/>
        </w:rPr>
      </w:pPr>
      <w:r>
        <w:t>Uzsveram mobilo pakalpojumu sniegšanu, kas nav piesaistīta konkrētai vietai. Te esam izvirzījuši nosacījumu, ka tas, kas to attīsta, ir vai nu vismaz gadu jau deklarējies mūsu teritorijā, vai arī gadu šeit veic saimniecisko darbību, turklāt visu uzraudzības laiku viņam arī šeit jādzīvo.</w:t>
      </w:r>
    </w:p>
    <w:p w14:paraId="7210F5FF" w14:textId="77777777" w:rsidR="00827878" w:rsidRDefault="00000000" w:rsidP="00F25EF6">
      <w:pPr>
        <w:pStyle w:val="Standard"/>
        <w:ind w:firstLine="227"/>
        <w:jc w:val="both"/>
        <w:rPr>
          <w:rFonts w:hint="eastAsia"/>
        </w:rPr>
      </w:pPr>
      <w:r>
        <w:rPr>
          <w:b/>
          <w:bCs/>
          <w:i/>
          <w:iCs/>
        </w:rPr>
        <w:t>Alnis Auziņš, ZBA sabiedrisko attiecību speciālists</w:t>
      </w:r>
    </w:p>
    <w:sectPr w:rsidR="00827878">
      <w:pgSz w:w="12240" w:h="15840"/>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479DE7" w14:textId="77777777" w:rsidR="00B95BBC" w:rsidRDefault="00B95BBC">
      <w:pPr>
        <w:rPr>
          <w:rFonts w:hint="eastAsia"/>
        </w:rPr>
      </w:pPr>
      <w:r>
        <w:separator/>
      </w:r>
    </w:p>
  </w:endnote>
  <w:endnote w:type="continuationSeparator" w:id="0">
    <w:p w14:paraId="6BC16456" w14:textId="77777777" w:rsidR="00B95BBC" w:rsidRDefault="00B95BBC">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charset w:val="00"/>
    <w:family w:val="auto"/>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imes New Roman">
    <w:panose1 w:val="02020603050405020304"/>
    <w:charset w:val="BA"/>
    <w:family w:val="roman"/>
    <w:pitch w:val="variable"/>
    <w:sig w:usb0="E0002EFF" w:usb1="C000785B" w:usb2="00000009" w:usb3="00000000" w:csb0="000001FF" w:csb1="00000000"/>
  </w:font>
  <w:font w:name="Liberation Sans">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8804BA" w14:textId="77777777" w:rsidR="00B95BBC" w:rsidRDefault="00B95BBC">
      <w:pPr>
        <w:rPr>
          <w:rFonts w:hint="eastAsia"/>
        </w:rPr>
      </w:pPr>
      <w:r>
        <w:rPr>
          <w:color w:val="000000"/>
        </w:rPr>
        <w:separator/>
      </w:r>
    </w:p>
  </w:footnote>
  <w:footnote w:type="continuationSeparator" w:id="0">
    <w:p w14:paraId="392D210E" w14:textId="77777777" w:rsidR="00B95BBC" w:rsidRDefault="00B95BBC">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defaultTabStop w:val="709"/>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7878"/>
    <w:rsid w:val="004F03EB"/>
    <w:rsid w:val="0056095C"/>
    <w:rsid w:val="005B3BC2"/>
    <w:rsid w:val="00604A1B"/>
    <w:rsid w:val="00644B74"/>
    <w:rsid w:val="00697F1C"/>
    <w:rsid w:val="006E1DA5"/>
    <w:rsid w:val="0073703B"/>
    <w:rsid w:val="00827878"/>
    <w:rsid w:val="00AC563C"/>
    <w:rsid w:val="00AF4F58"/>
    <w:rsid w:val="00B95BBC"/>
    <w:rsid w:val="00EC1F8E"/>
    <w:rsid w:val="00F25EF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570CC8"/>
  <w15:docId w15:val="{0BE29C5B-43A6-4611-933D-8917E624A1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imSun" w:hAnsi="Liberation Serif" w:cs="Mangal"/>
        <w:kern w:val="3"/>
        <w:sz w:val="24"/>
        <w:szCs w:val="24"/>
        <w:lang w:val="lv-LV" w:eastAsia="zh-CN" w:bidi="hi-IN"/>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pPr>
      <w:suppressAutoHyphens/>
    </w:p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Liberation Sans" w:eastAsia="Microsoft YaHei" w:hAnsi="Liberation Sans" w:cs="Liberation Sans"/>
      <w:sz w:val="28"/>
      <w:szCs w:val="28"/>
    </w:rPr>
  </w:style>
  <w:style w:type="paragraph" w:customStyle="1" w:styleId="Textbody">
    <w:name w:val="Text body"/>
    <w:basedOn w:val="Standard"/>
    <w:pPr>
      <w:spacing w:after="140" w:line="288" w:lineRule="auto"/>
    </w:pPr>
  </w:style>
  <w:style w:type="paragraph" w:styleId="Saraksts">
    <w:name w:val="List"/>
    <w:basedOn w:val="Textbody"/>
  </w:style>
  <w:style w:type="paragraph" w:styleId="Parakstszemobjekta">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Komentrateksts">
    <w:name w:val="annotation text"/>
    <w:basedOn w:val="Parasts"/>
    <w:rPr>
      <w:sz w:val="20"/>
      <w:szCs w:val="18"/>
    </w:rPr>
  </w:style>
  <w:style w:type="paragraph" w:styleId="Komentratma">
    <w:name w:val="annotation subject"/>
    <w:basedOn w:val="Komentrateksts"/>
    <w:next w:val="Komentrateksts"/>
    <w:rPr>
      <w:b/>
      <w:bCs/>
    </w:rPr>
  </w:style>
  <w:style w:type="paragraph" w:styleId="Prskatjums">
    <w:name w:val="Revision"/>
    <w:pPr>
      <w:textAlignment w:val="auto"/>
    </w:pPr>
    <w:rPr>
      <w:szCs w:val="21"/>
    </w:rPr>
  </w:style>
  <w:style w:type="character" w:customStyle="1" w:styleId="KomentratekstsRakstz">
    <w:name w:val="Komentāra teksts Rakstz."/>
    <w:basedOn w:val="Noklusjumarindkopasfonts"/>
    <w:rPr>
      <w:sz w:val="20"/>
      <w:szCs w:val="18"/>
    </w:rPr>
  </w:style>
  <w:style w:type="character" w:styleId="Komentraatsauce">
    <w:name w:val="annotation reference"/>
    <w:basedOn w:val="Noklusjumarindkopasfonts"/>
    <w:rPr>
      <w:sz w:val="16"/>
      <w:szCs w:val="16"/>
    </w:rPr>
  </w:style>
  <w:style w:type="character" w:customStyle="1" w:styleId="KomentratmaRakstz">
    <w:name w:val="Komentāra tēma Rakstz."/>
    <w:basedOn w:val="KomentratekstsRakstz"/>
    <w:rPr>
      <w:b/>
      <w:bCs/>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3803</Words>
  <Characters>2169</Characters>
  <Application>Microsoft Office Word</Application>
  <DocSecurity>0</DocSecurity>
  <Lines>18</Lines>
  <Paragraphs>11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Gunta</dc:creator>
  <cp:lastModifiedBy>Sabīne Kleinhofa-Prūse</cp:lastModifiedBy>
  <cp:revision>3</cp:revision>
  <dcterms:created xsi:type="dcterms:W3CDTF">2024-02-01T19:46:00Z</dcterms:created>
  <dcterms:modified xsi:type="dcterms:W3CDTF">2024-02-06T07:58:00Z</dcterms:modified>
</cp:coreProperties>
</file>