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6600E" w14:textId="081F36D4" w:rsidR="0044044C" w:rsidRPr="00D53FD7" w:rsidRDefault="00B37450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</w:t>
      </w:r>
      <w:r w:rsidR="0044044C" w:rsidRPr="00D53FD7">
        <w:rPr>
          <w:rFonts w:ascii="Times New Roman" w:hAnsi="Times New Roman" w:cs="Times New Roman"/>
          <w:b/>
          <w:sz w:val="24"/>
          <w:szCs w:val="24"/>
        </w:rPr>
        <w:t>.pielikums</w:t>
      </w:r>
    </w:p>
    <w:p w14:paraId="5D2FA07F" w14:textId="77777777"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14:paraId="072D16CF" w14:textId="77777777" w:rsidR="0044044C" w:rsidRPr="0072665B" w:rsidRDefault="0044044C" w:rsidP="00D53FD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TEHNISKĀ SPECIFIKĀCIJA UN FINANŠU PIEDĀVĀJUMS</w:t>
      </w:r>
    </w:p>
    <w:p w14:paraId="67D0C18A" w14:textId="4A2F6789" w:rsidR="0044044C" w:rsidRDefault="00D53FD7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3FD7">
        <w:rPr>
          <w:rFonts w:ascii="Times New Roman" w:hAnsi="Times New Roman" w:cs="Times New Roman"/>
          <w:color w:val="000000"/>
          <w:sz w:val="24"/>
          <w:szCs w:val="24"/>
        </w:rPr>
        <w:t xml:space="preserve">“Pārtikas produktu piegāde </w:t>
      </w:r>
      <w:r w:rsidR="009C29E7">
        <w:rPr>
          <w:rFonts w:ascii="Times New Roman" w:hAnsi="Times New Roman" w:cs="Times New Roman"/>
          <w:color w:val="000000"/>
          <w:sz w:val="24"/>
          <w:szCs w:val="24"/>
        </w:rPr>
        <w:t>Talsu</w:t>
      </w:r>
      <w:r w:rsidR="004A06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3FD7">
        <w:rPr>
          <w:rFonts w:ascii="Times New Roman" w:hAnsi="Times New Roman" w:cs="Times New Roman"/>
          <w:color w:val="000000"/>
          <w:sz w:val="24"/>
          <w:szCs w:val="24"/>
        </w:rPr>
        <w:t>pirmsskolas izglītības iestādei “</w:t>
      </w:r>
      <w:r w:rsidR="009C29E7">
        <w:rPr>
          <w:rFonts w:ascii="Times New Roman" w:hAnsi="Times New Roman" w:cs="Times New Roman"/>
          <w:color w:val="000000"/>
          <w:sz w:val="24"/>
          <w:szCs w:val="24"/>
        </w:rPr>
        <w:t>Zvaniņš</w:t>
      </w:r>
      <w:r w:rsidRPr="00D53FD7">
        <w:rPr>
          <w:rFonts w:ascii="Times New Roman" w:hAnsi="Times New Roman" w:cs="Times New Roman"/>
          <w:color w:val="000000"/>
          <w:sz w:val="24"/>
          <w:szCs w:val="24"/>
        </w:rPr>
        <w:t>””</w:t>
      </w:r>
    </w:p>
    <w:p w14:paraId="4E9DA9C4" w14:textId="77777777" w:rsidR="0044044C" w:rsidRPr="0072665B" w:rsidRDefault="0044044C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56C05B" w14:textId="77777777" w:rsidR="004A34A2" w:rsidRPr="004A34A2" w:rsidRDefault="004A34A2" w:rsidP="004A34A2">
      <w:pPr>
        <w:spacing w:before="280" w:after="280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  <w:b/>
          <w:bCs/>
        </w:rPr>
        <w:t xml:space="preserve">1. Vispārējās prasības produktiem: </w:t>
      </w:r>
    </w:p>
    <w:p w14:paraId="0B1E2B85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Produkcijas kvalitātei ir jāatbilst Latvijas Republikas Pārtikas un veterinārā dienesta un Latvijas Republikā spēkā esošo normatīvo aktu prasībām.</w:t>
      </w:r>
    </w:p>
    <w:p w14:paraId="1F78333C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Piedāvātai produkcijai un tarai jāatbilst Pārtikas aprites uzraudzības likumam, Veterinārmedicīnas likumam un Ministru kabineta 03.03.2015. noteikumiem Nr.115 „Prasības fasētas pārtikas marķējumam” noteiktām prasībām un citiem saistošajiem normatīvajiem aktiem.</w:t>
      </w:r>
    </w:p>
    <w:p w14:paraId="615234D3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Pārtikas produktu derīguma termiņš uz piegādes brīdi ir ne mazāks kā 2/3 (divas trešdaļas) no ražotāja noteiktā preces derīguma termiņa.</w:t>
      </w:r>
    </w:p>
    <w:p w14:paraId="29C16D0D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Derīguma termiņam produktiem, kas ātri bojājas, ir jābūt vismaz 3 (trīs) dienas, skaitot no piegādes dienas.</w:t>
      </w:r>
    </w:p>
    <w:p w14:paraId="7C8162DC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Visiem pārtikas produktiem jābūt marķētiem atbilstoši Latvijas Republikā spēkā esošo normatīvo aktu prasībām.</w:t>
      </w:r>
    </w:p>
    <w:p w14:paraId="0ABA9BA5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Piegādājot preces, jābūt norādītam pārtikas produktu uzglabāšanas režīmam, realizācijas termiņiem, veselības marķējumam.</w:t>
      </w:r>
    </w:p>
    <w:p w14:paraId="33F1B706" w14:textId="77777777"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Pārtikas produktu piegāde jāveic tikai ar atbilstoši Latvijas Republikas spēkā esošo normatīvo aktu prasībām aprīkotiem transportlīdzekļiem.</w:t>
      </w:r>
    </w:p>
    <w:p w14:paraId="5B072FDA" w14:textId="77777777"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425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Pārtikas produkti jāpiegādā atbilstoši tehnisko specifikāciju prasībām, atbilstošā kvalitātē, sortimentā un daudzumā. Lai tas varētu izturēt pārvadāšanu un pārkraušanu; nokļūt paredzētajā vietā atbilstošā kondīcijā.</w:t>
      </w:r>
    </w:p>
    <w:p w14:paraId="3DC3B3C2" w14:textId="77777777"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425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 xml:space="preserve"> Ja fasējums nav norādīts, tad piegādātājs to var izvēlēties atbilstoši Pārtikas un Veterinārā dienesta  prasībām.</w:t>
      </w:r>
    </w:p>
    <w:p w14:paraId="17D3F318" w14:textId="77777777"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567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Produkti jāpiegādā speciāli aprīkotā transportā atbilstoši Pārtikas un Veterinārā dienesta prasībām.</w:t>
      </w:r>
    </w:p>
    <w:p w14:paraId="39219C7D" w14:textId="77777777"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567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Pretendenta iesniegtajam finanšu piedāvājumam pilnībā jāatbilst pasūtītāja tehniskajai specifikācijai.</w:t>
      </w:r>
    </w:p>
    <w:p w14:paraId="597D26CC" w14:textId="77777777"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567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Nekvalitatīvas produkcijas piegādes gadījumā, bojātā produkcija jānomaina 24 stundu laikā.</w:t>
      </w:r>
    </w:p>
    <w:p w14:paraId="31465393" w14:textId="77777777" w:rsidR="004A34A2" w:rsidRPr="004A34A2" w:rsidRDefault="004A34A2" w:rsidP="004A34A2">
      <w:pPr>
        <w:tabs>
          <w:tab w:val="left" w:pos="5676"/>
        </w:tabs>
        <w:spacing w:before="120" w:after="120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  <w:b/>
        </w:rPr>
        <w:t>2. Obligātās prasības pārtikas produktiem:</w:t>
      </w:r>
    </w:p>
    <w:p w14:paraId="720104B8" w14:textId="77777777" w:rsidR="004A34A2" w:rsidRPr="004A34A2" w:rsidRDefault="004A34A2" w:rsidP="004A34A2">
      <w:pPr>
        <w:suppressAutoHyphens/>
        <w:spacing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2.1. produktu ražošanā nedrīkst tikt izmantotas sintētiskās krāsvielas;</w:t>
      </w:r>
    </w:p>
    <w:p w14:paraId="2C1EEA46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produkti nedrīkst saturēt ģenētiski modificētus organismus, nesastāv no tiem un nav no tiem ražoti;</w:t>
      </w:r>
    </w:p>
    <w:p w14:paraId="390E5AC5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4A34A2">
        <w:rPr>
          <w:rFonts w:ascii="Times New Roman" w:hAnsi="Times New Roman" w:cs="Times New Roman"/>
        </w:rPr>
        <w:t>konditorejas izstrādājumu sastāvā nedrīkst būt daļēji hidrogenēti augu tauki;</w:t>
      </w:r>
    </w:p>
    <w:p w14:paraId="76BCFB26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 xml:space="preserve">produktu sastāvā nedrīkst būt krāsvielas (izņemot Eiropas Parlamenta un Padomes 2008. gada 16. decembra Regulas Nr. </w:t>
      </w:r>
      <w:hyperlink r:id="rId5" w:tgtFrame="_blank" w:history="1">
        <w:r w:rsidRPr="004A34A2">
          <w:rPr>
            <w:rStyle w:val="Hipersaite"/>
            <w:rFonts w:ascii="Times New Roman" w:hAnsi="Times New Roman" w:cs="Times New Roman"/>
          </w:rPr>
          <w:t>1333/2008</w:t>
        </w:r>
      </w:hyperlink>
      <w:r w:rsidRPr="004A34A2">
        <w:rPr>
          <w:rFonts w:ascii="Times New Roman" w:hAnsi="Times New Roman" w:cs="Times New Roman"/>
        </w:rPr>
        <w:t xml:space="preserve"> par pārtikas piedevām II pielikuma C daļā minētās II grupas pārtikas krāsvielas)</w:t>
      </w:r>
    </w:p>
    <w:p w14:paraId="4AFBDADD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garšas pastiprinātāji;</w:t>
      </w:r>
    </w:p>
    <w:p w14:paraId="3B082614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konservanti (izņemot etiķskābi (etiķi), sēra dioksīdu – sulfītus, citronskābi, pienskābi, askorbīnskābi, ābolskābi);</w:t>
      </w:r>
    </w:p>
    <w:p w14:paraId="42A9A648" w14:textId="77777777"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 xml:space="preserve">saldinātāji. (MK </w:t>
      </w:r>
      <w:hyperlink r:id="rId6" w:tgtFrame="_blank" w:history="1">
        <w:r w:rsidRPr="004A34A2">
          <w:rPr>
            <w:rStyle w:val="Hipersaite"/>
            <w:rFonts w:ascii="Times New Roman" w:hAnsi="Times New Roman" w:cs="Times New Roman"/>
          </w:rPr>
          <w:t>02.02.2016.</w:t>
        </w:r>
      </w:hyperlink>
      <w:r w:rsidRPr="004A34A2">
        <w:rPr>
          <w:rFonts w:ascii="Times New Roman" w:hAnsi="Times New Roman" w:cs="Times New Roman"/>
        </w:rPr>
        <w:t xml:space="preserve"> noteikumu Nr. 81 redakcijā)</w:t>
      </w:r>
    </w:p>
    <w:p w14:paraId="015CE9E8" w14:textId="77777777" w:rsidR="004A34A2" w:rsidRPr="004A34A2" w:rsidRDefault="004A34A2" w:rsidP="004A34A2">
      <w:pPr>
        <w:tabs>
          <w:tab w:val="left" w:pos="600"/>
        </w:tabs>
        <w:ind w:left="300" w:hanging="300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  <w:b/>
        </w:rPr>
        <w:t>3.</w:t>
      </w:r>
      <w:r w:rsidRPr="004A34A2">
        <w:rPr>
          <w:rFonts w:ascii="Times New Roman" w:hAnsi="Times New Roman" w:cs="Times New Roman"/>
        </w:rPr>
        <w:t xml:space="preserve"> </w:t>
      </w:r>
      <w:r w:rsidRPr="004A34A2">
        <w:rPr>
          <w:rFonts w:ascii="Times New Roman" w:hAnsi="Times New Roman" w:cs="Times New Roman"/>
          <w:b/>
        </w:rPr>
        <w:t>Piegādes prasības</w:t>
      </w:r>
      <w:r w:rsidRPr="004A34A2">
        <w:rPr>
          <w:rFonts w:ascii="Times New Roman" w:hAnsi="Times New Roman" w:cs="Times New Roman"/>
        </w:rPr>
        <w:t>:</w:t>
      </w:r>
    </w:p>
    <w:p w14:paraId="64862346" w14:textId="77777777" w:rsidR="004A34A2" w:rsidRPr="004A34A2" w:rsidRDefault="004A34A2" w:rsidP="004A34A2">
      <w:pPr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3.1. Kopējais preču apjoms var mainīties līguma darbības laikā, ņemot vērā Pasūtītāja budžeta izmaksas.</w:t>
      </w:r>
    </w:p>
    <w:p w14:paraId="08D9CE4F" w14:textId="14A43492" w:rsidR="0044044C" w:rsidRPr="004A34A2" w:rsidRDefault="004A34A2" w:rsidP="004A34A2">
      <w:pPr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3.2. Preču piegādes pie</w:t>
      </w:r>
      <w:r>
        <w:rPr>
          <w:rFonts w:ascii="Times New Roman" w:hAnsi="Times New Roman" w:cs="Times New Roman"/>
        </w:rPr>
        <w:t>teikšanas iespējas pa tālruni.</w:t>
      </w:r>
      <w:r>
        <w:rPr>
          <w:rFonts w:ascii="Times New Roman" w:hAnsi="Times New Roman" w:cs="Times New Roman"/>
        </w:rPr>
        <w:tab/>
      </w:r>
    </w:p>
    <w:p w14:paraId="0B6E6B57" w14:textId="77777777" w:rsidR="00BF2B39" w:rsidRDefault="00BF2B39" w:rsidP="00D53FD7"/>
    <w:sectPr w:rsidR="00BF2B39" w:rsidSect="00D53FD7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BFB"/>
    <w:multiLevelType w:val="multilevel"/>
    <w:tmpl w:val="1D4E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" w15:restartNumberingAfterBreak="0">
    <w:nsid w:val="314E3B7D"/>
    <w:multiLevelType w:val="multilevel"/>
    <w:tmpl w:val="E54C4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C06F53"/>
    <w:multiLevelType w:val="multilevel"/>
    <w:tmpl w:val="AB68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5B4533D8"/>
    <w:multiLevelType w:val="hybridMultilevel"/>
    <w:tmpl w:val="5F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4C"/>
    <w:rsid w:val="0044044C"/>
    <w:rsid w:val="004A06BE"/>
    <w:rsid w:val="004A34A2"/>
    <w:rsid w:val="004E6A34"/>
    <w:rsid w:val="009B5950"/>
    <w:rsid w:val="009C29E7"/>
    <w:rsid w:val="00AB2EEB"/>
    <w:rsid w:val="00B37450"/>
    <w:rsid w:val="00BF2B39"/>
    <w:rsid w:val="00C71F64"/>
    <w:rsid w:val="00CF650A"/>
    <w:rsid w:val="00D53FD7"/>
    <w:rsid w:val="00E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A245"/>
  <w15:docId w15:val="{F717E087-5D94-4034-99A0-0F42DA0C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4044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044C"/>
    <w:pPr>
      <w:ind w:left="720"/>
      <w:contextualSpacing/>
    </w:pPr>
  </w:style>
  <w:style w:type="character" w:styleId="Hipersaite">
    <w:name w:val="Hyperlink"/>
    <w:uiPriority w:val="99"/>
    <w:rsid w:val="004A3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80117-grozijumi-ministru-kabineta-2012-gada-13-marta-noteikumos-nr-172-noteikumi-par-uztura-normam-izglitibas-iestazu-izglitojamiem-s..." TargetMode="External"/><Relationship Id="rId5" Type="http://schemas.openxmlformats.org/officeDocument/2006/relationships/hyperlink" Target="http://eur-lex.europa.eu/eli/reg/2008/1333/oj/?locale=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2</cp:revision>
  <cp:lastPrinted>2020-08-17T11:28:00Z</cp:lastPrinted>
  <dcterms:created xsi:type="dcterms:W3CDTF">2020-08-19T06:19:00Z</dcterms:created>
  <dcterms:modified xsi:type="dcterms:W3CDTF">2020-08-19T06:19:00Z</dcterms:modified>
</cp:coreProperties>
</file>